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05EE" w14:textId="77777777" w:rsidR="00F41F71" w:rsidRDefault="00F41F71" w:rsidP="00E75510">
      <w:pPr>
        <w:spacing w:after="0"/>
        <w:rPr>
          <w:rFonts w:ascii="Arial" w:eastAsia="Times New Roman" w:hAnsi="Arial" w:cs="Arial"/>
          <w:b/>
          <w:bCs/>
          <w:noProof/>
          <w:color w:val="000000" w:themeColor="text1"/>
          <w:kern w:val="36"/>
          <w:lang w:eastAsia="en-GB"/>
        </w:rPr>
      </w:pPr>
    </w:p>
    <w:p w14:paraId="5BE47FF3" w14:textId="531CA7CA" w:rsidR="00F41F71" w:rsidRDefault="008C6B99"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6DEE77E8" wp14:editId="707AEC6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p w14:paraId="670886BF" w14:textId="08878C43" w:rsidR="00F41F71" w:rsidRDefault="00F41F71" w:rsidP="00E75510">
      <w:pPr>
        <w:spacing w:after="0"/>
        <w:rPr>
          <w:rFonts w:ascii="Arial" w:eastAsia="Times New Roman" w:hAnsi="Arial" w:cs="Arial"/>
          <w:b/>
          <w:bCs/>
          <w:noProof/>
          <w:color w:val="000000" w:themeColor="text1"/>
          <w:kern w:val="36"/>
          <w:lang w:eastAsia="en-GB"/>
        </w:rPr>
      </w:pP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91336F" w14:paraId="14A6A535" w14:textId="77777777" w:rsidTr="00643408">
        <w:trPr>
          <w:cantSplit/>
          <w:trHeight w:val="569"/>
        </w:trPr>
        <w:tc>
          <w:tcPr>
            <w:tcW w:w="3545" w:type="dxa"/>
            <w:shd w:val="clear" w:color="auto" w:fill="BFBFBF"/>
            <w:vAlign w:val="center"/>
          </w:tcPr>
          <w:p w14:paraId="591BADEC" w14:textId="77777777" w:rsidR="00613EC1" w:rsidRPr="00D1305C" w:rsidRDefault="008C6B99" w:rsidP="00643408">
            <w:pPr>
              <w:pStyle w:val="Heading2"/>
              <w:jc w:val="center"/>
            </w:pPr>
            <w:r>
              <w:t>Report of</w:t>
            </w:r>
          </w:p>
        </w:tc>
        <w:tc>
          <w:tcPr>
            <w:tcW w:w="4252" w:type="dxa"/>
            <w:shd w:val="clear" w:color="auto" w:fill="BFBFBF"/>
            <w:vAlign w:val="center"/>
          </w:tcPr>
          <w:p w14:paraId="15EC1FB6" w14:textId="77777777" w:rsidR="00613EC1" w:rsidRPr="00D1305C" w:rsidRDefault="008C6B99" w:rsidP="00643408">
            <w:pPr>
              <w:pStyle w:val="Heading2"/>
              <w:jc w:val="center"/>
            </w:pPr>
            <w:r>
              <w:t>Meeting</w:t>
            </w:r>
          </w:p>
        </w:tc>
        <w:tc>
          <w:tcPr>
            <w:tcW w:w="2268" w:type="dxa"/>
            <w:shd w:val="clear" w:color="auto" w:fill="BFBFBF"/>
            <w:vAlign w:val="center"/>
          </w:tcPr>
          <w:p w14:paraId="1E894EF4" w14:textId="77777777" w:rsidR="00613EC1" w:rsidRPr="00D1305C" w:rsidRDefault="008C6B99" w:rsidP="00643408">
            <w:pPr>
              <w:pStyle w:val="Heading2"/>
              <w:jc w:val="center"/>
            </w:pPr>
            <w:r>
              <w:t>Date</w:t>
            </w:r>
          </w:p>
        </w:tc>
      </w:tr>
      <w:tr w:rsidR="0091336F" w14:paraId="0E4958EF" w14:textId="77777777" w:rsidTr="00643408">
        <w:trPr>
          <w:cantSplit/>
          <w:trHeight w:val="654"/>
        </w:trPr>
        <w:tc>
          <w:tcPr>
            <w:tcW w:w="3545" w:type="dxa"/>
            <w:tcBorders>
              <w:bottom w:val="single" w:sz="4" w:space="0" w:color="auto"/>
            </w:tcBorders>
            <w:shd w:val="clear" w:color="auto" w:fill="auto"/>
            <w:vAlign w:val="center"/>
          </w:tcPr>
          <w:p w14:paraId="581CAF6E" w14:textId="77777777" w:rsidR="005E7794" w:rsidRPr="007637E9" w:rsidRDefault="008C6B99"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Finance and Section 151 Officer</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5F82EC3F" w14:textId="77777777" w:rsidR="00FB3074" w:rsidRDefault="008C6B99"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3CAE0C32" w14:textId="77777777"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16B5CC" w14:textId="77777777" w:rsidR="00613EC1" w:rsidRPr="007637E9" w:rsidRDefault="008C6B99"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7 March 2023</w:t>
            </w:r>
            <w:r>
              <w:rPr>
                <w:rFonts w:ascii="Arial" w:eastAsia="Times New Roman" w:hAnsi="Arial" w:cs="Arial"/>
                <w:color w:val="000000" w:themeColor="text1"/>
                <w:kern w:val="36"/>
                <w:lang w:eastAsia="en-GB"/>
              </w:rPr>
              <w:fldChar w:fldCharType="end"/>
            </w:r>
          </w:p>
        </w:tc>
      </w:tr>
    </w:tbl>
    <w:p w14:paraId="2EE58C30" w14:textId="77777777" w:rsidR="00613EC1" w:rsidRDefault="00613EC1" w:rsidP="00E75510">
      <w:pPr>
        <w:spacing w:after="0"/>
        <w:rPr>
          <w:rFonts w:ascii="Arial" w:eastAsia="Times New Roman" w:hAnsi="Arial" w:cs="Arial"/>
          <w:b/>
          <w:bCs/>
          <w:noProof/>
          <w:color w:val="000000" w:themeColor="text1"/>
          <w:kern w:val="36"/>
          <w:lang w:eastAsia="en-GB"/>
        </w:rPr>
      </w:pPr>
    </w:p>
    <w:p w14:paraId="373FCC3A" w14:textId="77777777" w:rsidR="00613EC1" w:rsidRDefault="00613EC1" w:rsidP="00E75510">
      <w:pPr>
        <w:spacing w:after="0"/>
        <w:rPr>
          <w:rFonts w:ascii="Arial" w:eastAsia="Times New Roman" w:hAnsi="Arial" w:cs="Arial"/>
          <w:b/>
          <w:bCs/>
          <w:noProof/>
          <w:color w:val="000000" w:themeColor="text1"/>
          <w:kern w:val="36"/>
          <w:lang w:eastAsia="en-GB"/>
        </w:rPr>
      </w:pPr>
    </w:p>
    <w:p w14:paraId="6313C39E" w14:textId="735EE629" w:rsidR="00F41F71" w:rsidRPr="00F41F71" w:rsidRDefault="00F41F71" w:rsidP="00BE1920">
      <w:pPr>
        <w:pStyle w:val="Heading1"/>
        <w:spacing w:before="0" w:beforeAutospacing="0" w:after="0" w:afterAutospacing="0"/>
        <w:rPr>
          <w:rFonts w:asciiTheme="majorHAnsi" w:hAnsiTheme="majorHAnsi" w:cstheme="majorHAnsi"/>
          <w:sz w:val="28"/>
          <w:szCs w:val="28"/>
        </w:rPr>
      </w:pPr>
      <w:r w:rsidRPr="00F41F71">
        <w:rPr>
          <w:rFonts w:ascii="Arial" w:hAnsi="Arial" w:cs="Arial"/>
          <w:noProof/>
          <w:color w:val="000000" w:themeColor="text1"/>
          <w:sz w:val="28"/>
          <w:szCs w:val="28"/>
        </w:rPr>
        <w:t>ADDENDUM TO AGENDA ITEM 5 – FINAL AUDIT FINDINGS REPORT 2021/22</w:t>
      </w:r>
    </w:p>
    <w:p w14:paraId="42811497" w14:textId="77777777" w:rsidR="00F41F71" w:rsidRPr="00F41F71" w:rsidRDefault="00F41F71" w:rsidP="00BE1920">
      <w:pPr>
        <w:pStyle w:val="Heading1"/>
        <w:spacing w:before="0" w:beforeAutospacing="0" w:after="0" w:afterAutospacing="0"/>
        <w:rPr>
          <w:rFonts w:asciiTheme="majorHAnsi" w:hAnsiTheme="majorHAnsi" w:cstheme="majorHAnsi"/>
          <w:sz w:val="28"/>
          <w:szCs w:val="28"/>
        </w:rPr>
      </w:pPr>
      <w:bookmarkStart w:id="0" w:name="_GoBack"/>
      <w:bookmarkEnd w:id="0"/>
    </w:p>
    <w:p w14:paraId="258AAF27" w14:textId="08446270" w:rsidR="00BE1920" w:rsidRDefault="008C6B99"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Statement of Accounts 2021/22</w:t>
      </w:r>
      <w:r w:rsidRPr="00883AC9">
        <w:rPr>
          <w:rFonts w:asciiTheme="majorHAnsi" w:hAnsiTheme="majorHAnsi" w:cstheme="majorHAnsi"/>
          <w:sz w:val="28"/>
          <w:szCs w:val="28"/>
        </w:rPr>
        <w:fldChar w:fldCharType="end"/>
      </w:r>
    </w:p>
    <w:p w14:paraId="546E3C17" w14:textId="7777777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91336F" w14:paraId="289A566C" w14:textId="77777777" w:rsidTr="002F1805">
        <w:tc>
          <w:tcPr>
            <w:tcW w:w="4508" w:type="dxa"/>
          </w:tcPr>
          <w:p w14:paraId="24041ECA" w14:textId="77777777" w:rsidR="00E75510" w:rsidRPr="00E75510" w:rsidRDefault="008C6B99"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4D1DFC74" w14:textId="77777777" w:rsidR="00E75510" w:rsidRPr="00E75510" w:rsidRDefault="008C6B99"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126ADC83" w14:textId="77777777"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43F235FD" w14:textId="77777777"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91336F" w14:paraId="60592A14" w14:textId="77777777" w:rsidTr="002F1805">
        <w:tc>
          <w:tcPr>
            <w:tcW w:w="4513" w:type="dxa"/>
          </w:tcPr>
          <w:p w14:paraId="3E0E1310" w14:textId="77777777" w:rsidR="00E75510" w:rsidRPr="00E75510" w:rsidRDefault="008C6B99"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3CFE12B9" w14:textId="77777777" w:rsidR="00B6683B" w:rsidRPr="00E75510" w:rsidRDefault="00B6683B" w:rsidP="00B6683B">
            <w:pPr>
              <w:rPr>
                <w:rFonts w:cstheme="minorHAnsi"/>
                <w:sz w:val="24"/>
                <w:szCs w:val="24"/>
              </w:rPr>
            </w:pPr>
            <w:r>
              <w:rPr>
                <w:rFonts w:eastAsia="Times New Roman" w:cstheme="minorHAnsi"/>
                <w:bCs/>
                <w:color w:val="000000" w:themeColor="text1"/>
                <w:kern w:val="36"/>
                <w:lang w:eastAsia="en-GB"/>
              </w:rPr>
              <w:t>N</w:t>
            </w:r>
            <w:r w:rsidR="008C6B99" w:rsidRPr="00E75510">
              <w:rPr>
                <w:rFonts w:eastAsia="Times New Roman" w:cstheme="minorHAnsi"/>
                <w:bCs/>
                <w:color w:val="000000" w:themeColor="text1"/>
                <w:kern w:val="36"/>
                <w:lang w:eastAsia="en-GB"/>
              </w:rPr>
              <w:t>o</w:t>
            </w:r>
          </w:p>
          <w:p w14:paraId="7A2108BD" w14:textId="77777777" w:rsidR="00E75510" w:rsidRPr="00E75510" w:rsidRDefault="00E75510" w:rsidP="00E75510">
            <w:pPr>
              <w:pStyle w:val="Heading1"/>
              <w:spacing w:before="0" w:beforeAutospacing="0" w:after="0" w:afterAutospacing="0"/>
              <w:outlineLvl w:val="0"/>
              <w:rPr>
                <w:rFonts w:asciiTheme="minorHAnsi" w:hAnsiTheme="minorHAnsi" w:cstheme="minorHAnsi"/>
                <w:sz w:val="24"/>
                <w:szCs w:val="24"/>
              </w:rPr>
            </w:pPr>
          </w:p>
        </w:tc>
      </w:tr>
    </w:tbl>
    <w:p w14:paraId="57B01F00" w14:textId="77777777"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91336F" w14:paraId="688C25AB" w14:textId="77777777" w:rsidTr="002F1805">
        <w:tc>
          <w:tcPr>
            <w:tcW w:w="4513" w:type="dxa"/>
          </w:tcPr>
          <w:p w14:paraId="1AA225C2" w14:textId="77777777" w:rsidR="00E75510" w:rsidRPr="00E75510" w:rsidRDefault="008C6B99" w:rsidP="00E75510">
            <w:pPr>
              <w:pStyle w:val="Heading1"/>
              <w:spacing w:before="0" w:beforeAutospacing="0" w:after="0" w:afterAutospacing="0"/>
              <w:outlineLvl w:val="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598F4663" w14:textId="77777777" w:rsidR="00E75510" w:rsidRPr="00E75510" w:rsidRDefault="008C6B99" w:rsidP="00E75510">
            <w:pPr>
              <w:pStyle w:val="Heading1"/>
              <w:spacing w:before="0" w:beforeAutospacing="0" w:after="0" w:afterAutospacing="0"/>
              <w:outlineLvl w:val="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638E0BED" w14:textId="77777777" w:rsidR="00E75510" w:rsidRDefault="00E75510" w:rsidP="006B62C4">
      <w:pPr>
        <w:spacing w:after="0"/>
      </w:pPr>
    </w:p>
    <w:p w14:paraId="5B6C7822" w14:textId="77777777" w:rsidR="00D1305C" w:rsidRDefault="008C6B99" w:rsidP="006B62C4">
      <w:pPr>
        <w:pStyle w:val="Heading2"/>
      </w:pPr>
      <w:r w:rsidRPr="007637E9">
        <w:t>Purpose of the Report</w:t>
      </w:r>
    </w:p>
    <w:p w14:paraId="6B49A5E9" w14:textId="77777777" w:rsidR="003F64E2" w:rsidRPr="002F1805" w:rsidRDefault="003F64E2" w:rsidP="006B62C4">
      <w:pPr>
        <w:spacing w:after="0"/>
      </w:pPr>
    </w:p>
    <w:p w14:paraId="036EDBA0" w14:textId="77777777" w:rsidR="003F64E2" w:rsidRPr="007637E9" w:rsidRDefault="003F64E2" w:rsidP="002F1805">
      <w:pPr>
        <w:pStyle w:val="Heading2"/>
        <w:rPr>
          <w:rFonts w:asciiTheme="majorHAnsi" w:hAnsiTheme="majorHAnsi" w:cstheme="majorHAnsi"/>
          <w:sz w:val="2"/>
          <w:szCs w:val="14"/>
        </w:rPr>
      </w:pPr>
    </w:p>
    <w:p w14:paraId="4EEC45E4" w14:textId="77777777" w:rsidR="008C37E1" w:rsidRDefault="00B6683B" w:rsidP="008C37E1">
      <w:pPr>
        <w:numPr>
          <w:ilvl w:val="0"/>
          <w:numId w:val="8"/>
        </w:numPr>
        <w:spacing w:after="0" w:line="240" w:lineRule="auto"/>
        <w:ind w:left="567" w:hanging="567"/>
        <w:jc w:val="both"/>
        <w:rPr>
          <w:rFonts w:cstheme="minorHAnsi"/>
          <w:bCs/>
          <w:iCs/>
        </w:rPr>
      </w:pPr>
      <w:r w:rsidRPr="00B6683B">
        <w:rPr>
          <w:rFonts w:cstheme="minorHAnsi"/>
          <w:bCs/>
          <w:iCs/>
        </w:rPr>
        <w:t xml:space="preserve">Further to the approval of the Statement of Accounts for 2021/22 at the Governance Committee meeting on 29 November 2022, the purpose of the report is to update </w:t>
      </w:r>
      <w:r w:rsidR="004D317C">
        <w:rPr>
          <w:rFonts w:cstheme="minorHAnsi"/>
          <w:bCs/>
          <w:iCs/>
        </w:rPr>
        <w:t xml:space="preserve">Committee </w:t>
      </w:r>
      <w:r w:rsidRPr="00B6683B">
        <w:rPr>
          <w:rFonts w:cstheme="minorHAnsi"/>
          <w:bCs/>
          <w:iCs/>
        </w:rPr>
        <w:t xml:space="preserve">Members on </w:t>
      </w:r>
      <w:r w:rsidR="004D317C">
        <w:rPr>
          <w:rFonts w:cstheme="minorHAnsi"/>
          <w:bCs/>
          <w:iCs/>
        </w:rPr>
        <w:t xml:space="preserve">the </w:t>
      </w:r>
      <w:r w:rsidRPr="00B6683B">
        <w:rPr>
          <w:rFonts w:cstheme="minorHAnsi"/>
          <w:bCs/>
          <w:iCs/>
        </w:rPr>
        <w:t>adjustments made to the accounts since that date</w:t>
      </w:r>
      <w:r w:rsidR="004D317C">
        <w:rPr>
          <w:rFonts w:cstheme="minorHAnsi"/>
          <w:bCs/>
          <w:iCs/>
        </w:rPr>
        <w:t>,</w:t>
      </w:r>
      <w:r w:rsidRPr="00B6683B">
        <w:rPr>
          <w:rFonts w:cstheme="minorHAnsi"/>
          <w:bCs/>
          <w:iCs/>
        </w:rPr>
        <w:t xml:space="preserve"> following completion of the external audit by Grant Thornton.</w:t>
      </w:r>
    </w:p>
    <w:p w14:paraId="59422194" w14:textId="77777777" w:rsidR="00B6683B" w:rsidRPr="00B6683B" w:rsidRDefault="00B6683B" w:rsidP="00B6683B">
      <w:pPr>
        <w:spacing w:after="0" w:line="240" w:lineRule="auto"/>
        <w:ind w:left="567"/>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91336F" w14:paraId="21BC102F" w14:textId="77777777" w:rsidTr="006B62C4">
        <w:trPr>
          <w:gridAfter w:val="1"/>
          <w:wAfter w:w="142" w:type="dxa"/>
        </w:trPr>
        <w:tc>
          <w:tcPr>
            <w:tcW w:w="9016" w:type="dxa"/>
            <w:gridSpan w:val="2"/>
          </w:tcPr>
          <w:p w14:paraId="590F1E3B" w14:textId="77777777" w:rsidR="008C37E1" w:rsidRDefault="008C6B99" w:rsidP="006B62C4">
            <w:pPr>
              <w:pStyle w:val="Heading2"/>
              <w:outlineLvl w:val="1"/>
            </w:pPr>
            <w:r w:rsidRPr="00A67766">
              <w:t>Recommendations</w:t>
            </w:r>
          </w:p>
          <w:p w14:paraId="340793C1" w14:textId="77777777" w:rsidR="008C37E1" w:rsidRDefault="008C37E1" w:rsidP="006B62C4"/>
        </w:tc>
      </w:tr>
      <w:tr w:rsidR="0091336F" w14:paraId="24312670" w14:textId="77777777" w:rsidTr="006B62C4">
        <w:trPr>
          <w:gridBefore w:val="1"/>
          <w:wBefore w:w="142" w:type="dxa"/>
        </w:trPr>
        <w:tc>
          <w:tcPr>
            <w:tcW w:w="9016" w:type="dxa"/>
            <w:gridSpan w:val="2"/>
          </w:tcPr>
          <w:p w14:paraId="46C58FF9" w14:textId="77777777" w:rsidR="00E10BF8" w:rsidRPr="00E10BF8" w:rsidRDefault="00E93B5C" w:rsidP="000467AD">
            <w:pPr>
              <w:numPr>
                <w:ilvl w:val="0"/>
                <w:numId w:val="9"/>
              </w:numPr>
              <w:ind w:left="459" w:hanging="567"/>
              <w:jc w:val="both"/>
              <w:rPr>
                <w:rFonts w:cstheme="minorHAnsi"/>
                <w:bCs/>
                <w:iCs/>
              </w:rPr>
            </w:pPr>
            <w:r>
              <w:rPr>
                <w:rFonts w:cstheme="minorHAnsi"/>
                <w:bCs/>
                <w:iCs/>
              </w:rPr>
              <w:t xml:space="preserve">Further to the approval of the 2021/22 Statement of Accounts at the </w:t>
            </w:r>
            <w:r w:rsidR="00B6683B">
              <w:rPr>
                <w:rFonts w:cstheme="minorHAnsi"/>
                <w:bCs/>
                <w:iCs/>
              </w:rPr>
              <w:t xml:space="preserve">Governance Committee </w:t>
            </w:r>
            <w:r>
              <w:rPr>
                <w:rFonts w:cstheme="minorHAnsi"/>
                <w:bCs/>
                <w:iCs/>
              </w:rPr>
              <w:t xml:space="preserve">on 29 November 2022, </w:t>
            </w:r>
            <w:r w:rsidR="00672DCA">
              <w:rPr>
                <w:rFonts w:cstheme="minorHAnsi"/>
                <w:bCs/>
                <w:iCs/>
              </w:rPr>
              <w:t xml:space="preserve">the Committee is </w:t>
            </w:r>
            <w:r w:rsidR="00B6683B">
              <w:rPr>
                <w:rFonts w:cstheme="minorHAnsi"/>
                <w:bCs/>
                <w:iCs/>
              </w:rPr>
              <w:t xml:space="preserve">asked to </w:t>
            </w:r>
            <w:r>
              <w:t xml:space="preserve">approve the statements which have been amended </w:t>
            </w:r>
            <w:r w:rsidR="00672DCA">
              <w:t xml:space="preserve">during the completion of the external audit </w:t>
            </w:r>
            <w:r>
              <w:t xml:space="preserve">to include the adjustments detailed </w:t>
            </w:r>
            <w:r w:rsidR="00672DCA">
              <w:t xml:space="preserve">in point 10 </w:t>
            </w:r>
            <w:r>
              <w:t>below.</w:t>
            </w:r>
          </w:p>
        </w:tc>
      </w:tr>
      <w:tr w:rsidR="0091336F" w14:paraId="68482034" w14:textId="77777777" w:rsidTr="006B62C4">
        <w:trPr>
          <w:gridBefore w:val="1"/>
          <w:wBefore w:w="142" w:type="dxa"/>
        </w:trPr>
        <w:tc>
          <w:tcPr>
            <w:tcW w:w="9016" w:type="dxa"/>
            <w:gridSpan w:val="2"/>
          </w:tcPr>
          <w:p w14:paraId="0C9C6E82" w14:textId="77777777" w:rsidR="00E963B8" w:rsidRPr="00E811D7" w:rsidRDefault="00E963B8" w:rsidP="00E963B8">
            <w:pPr>
              <w:rPr>
                <w:rFonts w:cstheme="minorHAnsi"/>
                <w:bCs/>
                <w:iCs/>
              </w:rPr>
            </w:pPr>
          </w:p>
        </w:tc>
      </w:tr>
      <w:tr w:rsidR="0091336F" w14:paraId="26BBC6F4" w14:textId="77777777" w:rsidTr="00E709F7">
        <w:trPr>
          <w:gridAfter w:val="1"/>
          <w:wAfter w:w="142" w:type="dxa"/>
        </w:trPr>
        <w:tc>
          <w:tcPr>
            <w:tcW w:w="9016" w:type="dxa"/>
            <w:gridSpan w:val="2"/>
          </w:tcPr>
          <w:p w14:paraId="320866D3" w14:textId="77777777" w:rsidR="00E10BF8" w:rsidRDefault="008C6B99" w:rsidP="00E709F7">
            <w:pPr>
              <w:pStyle w:val="Heading2"/>
              <w:outlineLvl w:val="1"/>
            </w:pPr>
            <w:r w:rsidRPr="00613EC1">
              <w:t>Reasons for recommendations</w:t>
            </w:r>
          </w:p>
          <w:p w14:paraId="075D70C4" w14:textId="77777777" w:rsidR="00E10BF8" w:rsidRDefault="00E10BF8" w:rsidP="00E709F7"/>
        </w:tc>
      </w:tr>
      <w:tr w:rsidR="0091336F" w14:paraId="418234C9" w14:textId="77777777" w:rsidTr="00E709F7">
        <w:trPr>
          <w:gridBefore w:val="1"/>
          <w:wBefore w:w="142" w:type="dxa"/>
        </w:trPr>
        <w:tc>
          <w:tcPr>
            <w:tcW w:w="9016" w:type="dxa"/>
            <w:gridSpan w:val="2"/>
          </w:tcPr>
          <w:p w14:paraId="0CCC3784" w14:textId="77777777" w:rsidR="00E93B5C" w:rsidRPr="000467AD" w:rsidRDefault="00E93B5C" w:rsidP="00E93B5C">
            <w:pPr>
              <w:pStyle w:val="ListParagraph"/>
              <w:numPr>
                <w:ilvl w:val="0"/>
                <w:numId w:val="9"/>
              </w:numPr>
              <w:spacing w:after="0" w:line="240" w:lineRule="auto"/>
              <w:ind w:left="602" w:hanging="709"/>
              <w:jc w:val="both"/>
              <w:rPr>
                <w:rFonts w:cstheme="minorHAnsi"/>
                <w:bCs/>
                <w:iCs/>
              </w:rPr>
            </w:pPr>
            <w:r>
              <w:rPr>
                <w:rFonts w:cstheme="minorHAnsi"/>
                <w:bCs/>
                <w:iCs/>
              </w:rPr>
              <w:t xml:space="preserve">At the November Governance Committee meeting, </w:t>
            </w:r>
            <w:r w:rsidR="00672DCA">
              <w:rPr>
                <w:rFonts w:cstheme="minorHAnsi"/>
                <w:bCs/>
                <w:iCs/>
              </w:rPr>
              <w:t>the Committee</w:t>
            </w:r>
            <w:r>
              <w:rPr>
                <w:rFonts w:cstheme="minorHAnsi"/>
                <w:bCs/>
                <w:iCs/>
              </w:rPr>
              <w:t xml:space="preserve"> approved the 2021/22 Statement of Account, subject to </w:t>
            </w:r>
            <w:r>
              <w:t>any amendments which, in the opinion of the Director of Finance (Section 151 Officer), are minor in nature.</w:t>
            </w:r>
          </w:p>
          <w:p w14:paraId="117A7143" w14:textId="77777777" w:rsidR="000467AD" w:rsidRPr="00E93B5C" w:rsidRDefault="000467AD" w:rsidP="000467AD">
            <w:pPr>
              <w:pStyle w:val="ListParagraph"/>
              <w:spacing w:after="0" w:line="240" w:lineRule="auto"/>
              <w:ind w:left="602"/>
              <w:jc w:val="both"/>
              <w:rPr>
                <w:rFonts w:cstheme="minorHAnsi"/>
                <w:bCs/>
                <w:iCs/>
              </w:rPr>
            </w:pPr>
          </w:p>
          <w:p w14:paraId="2157D48F" w14:textId="77777777" w:rsidR="00E93B5C" w:rsidRPr="00E963B8" w:rsidRDefault="00E93B5C" w:rsidP="00E93B5C">
            <w:pPr>
              <w:pStyle w:val="ListParagraph"/>
              <w:numPr>
                <w:ilvl w:val="0"/>
                <w:numId w:val="9"/>
              </w:numPr>
              <w:spacing w:after="0" w:line="240" w:lineRule="auto"/>
              <w:ind w:left="602" w:hanging="709"/>
              <w:jc w:val="both"/>
              <w:rPr>
                <w:rFonts w:cstheme="minorHAnsi"/>
                <w:bCs/>
                <w:iCs/>
              </w:rPr>
            </w:pPr>
            <w:r>
              <w:t xml:space="preserve">Delegated authority was given to the Director of Finance, in consultation with the Chair of Governance Committee, to make such minor amendments, however if in the opinion of the Director of Finance any such amendments </w:t>
            </w:r>
            <w:r w:rsidR="00672DCA">
              <w:t>were found to be</w:t>
            </w:r>
            <w:r>
              <w:t xml:space="preserve"> material to the financial position of the council, then Governance Committee would be asked to approve the updated Statement of Accounts</w:t>
            </w:r>
          </w:p>
        </w:tc>
      </w:tr>
    </w:tbl>
    <w:p w14:paraId="3B2FDDC2" w14:textId="77777777"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91336F" w14:paraId="63902E54" w14:textId="77777777" w:rsidTr="002F4B61">
        <w:trPr>
          <w:gridAfter w:val="1"/>
          <w:wAfter w:w="142" w:type="dxa"/>
        </w:trPr>
        <w:tc>
          <w:tcPr>
            <w:tcW w:w="9016" w:type="dxa"/>
            <w:gridSpan w:val="2"/>
          </w:tcPr>
          <w:p w14:paraId="365B340B" w14:textId="77777777" w:rsidR="00E10BF8" w:rsidRDefault="008C6B99" w:rsidP="002F4B61">
            <w:pPr>
              <w:pStyle w:val="Heading2"/>
              <w:outlineLvl w:val="1"/>
            </w:pPr>
            <w:r w:rsidRPr="00613EC1">
              <w:lastRenderedPageBreak/>
              <w:t>Other options considered and rejected</w:t>
            </w:r>
          </w:p>
          <w:p w14:paraId="63E8584B" w14:textId="77777777" w:rsidR="00E10BF8" w:rsidRDefault="00E10BF8" w:rsidP="002F4B61"/>
        </w:tc>
      </w:tr>
      <w:tr w:rsidR="0091336F" w14:paraId="2D301F8E" w14:textId="77777777" w:rsidTr="002F4B61">
        <w:trPr>
          <w:gridBefore w:val="1"/>
          <w:wBefore w:w="142" w:type="dxa"/>
        </w:trPr>
        <w:tc>
          <w:tcPr>
            <w:tcW w:w="9016" w:type="dxa"/>
            <w:gridSpan w:val="2"/>
          </w:tcPr>
          <w:p w14:paraId="2D4E3ABD" w14:textId="77777777" w:rsidR="00E10BF8" w:rsidRPr="00E10BF8" w:rsidRDefault="008C6B99" w:rsidP="006F27C3">
            <w:pPr>
              <w:numPr>
                <w:ilvl w:val="0"/>
                <w:numId w:val="10"/>
              </w:numPr>
              <w:ind w:left="602" w:hanging="709"/>
              <w:jc w:val="both"/>
              <w:rPr>
                <w:rFonts w:cstheme="minorHAnsi"/>
                <w:bCs/>
                <w:iCs/>
              </w:rPr>
            </w:pPr>
            <w:r w:rsidRPr="00E811D7">
              <w:rPr>
                <w:rFonts w:cstheme="minorHAnsi"/>
                <w:bCs/>
                <w:iCs/>
              </w:rPr>
              <w:t>T</w:t>
            </w:r>
            <w:r w:rsidR="000467AD">
              <w:rPr>
                <w:rFonts w:cstheme="minorHAnsi"/>
                <w:bCs/>
                <w:iCs/>
              </w:rPr>
              <w:t>he</w:t>
            </w:r>
            <w:r w:rsidRPr="00E811D7">
              <w:rPr>
                <w:rFonts w:cstheme="minorHAnsi"/>
                <w:bCs/>
                <w:iCs/>
              </w:rPr>
              <w:t xml:space="preserve"> </w:t>
            </w:r>
            <w:r w:rsidR="000467AD">
              <w:t>Statement of Accounts are prepared in the form to meet professional accounting standards and to comply with statutory regulations. There are therefore no alternative options that can be adopted. The report complies with the recommendations approved by Governance Committee in November 2022.</w:t>
            </w:r>
          </w:p>
        </w:tc>
      </w:tr>
    </w:tbl>
    <w:p w14:paraId="2A375B96" w14:textId="77777777" w:rsidR="00D1305C" w:rsidRPr="008C37E1" w:rsidRDefault="008C6B99" w:rsidP="002F4B61">
      <w:pPr>
        <w:pStyle w:val="Heading2"/>
      </w:pPr>
      <w:r w:rsidRPr="008C37E1">
        <w:t xml:space="preserve">Corporate </w:t>
      </w:r>
      <w:r w:rsidR="003E3722" w:rsidRPr="008C37E1">
        <w:t>priorities</w:t>
      </w:r>
    </w:p>
    <w:p w14:paraId="28C14A88" w14:textId="77777777" w:rsidR="002F1805" w:rsidRPr="002F1805" w:rsidRDefault="002F1805" w:rsidP="002F4B61">
      <w:pPr>
        <w:spacing w:after="0"/>
      </w:pPr>
    </w:p>
    <w:p w14:paraId="1A55105C" w14:textId="77777777" w:rsidR="00D1305C" w:rsidRPr="000467AD" w:rsidRDefault="008C6B99" w:rsidP="002F1805">
      <w:pPr>
        <w:numPr>
          <w:ilvl w:val="0"/>
          <w:numId w:val="11"/>
        </w:numPr>
        <w:spacing w:after="0" w:line="240" w:lineRule="auto"/>
        <w:ind w:left="567" w:hanging="567"/>
        <w:jc w:val="both"/>
        <w:rPr>
          <w:rFonts w:cstheme="minorHAnsi"/>
          <w:bCs/>
          <w:iCs/>
        </w:rPr>
      </w:pPr>
      <w:r w:rsidRPr="000467AD">
        <w:rPr>
          <w:rFonts w:cstheme="minorHAnsi"/>
          <w:bCs/>
        </w:rPr>
        <w:t xml:space="preserve">The report relates to the following corporate priorities: </w:t>
      </w:r>
    </w:p>
    <w:p w14:paraId="4C6161CD" w14:textId="77777777" w:rsidR="000467AD" w:rsidRPr="000467AD" w:rsidRDefault="000467AD" w:rsidP="000467AD">
      <w:pPr>
        <w:spacing w:after="0" w:line="240" w:lineRule="auto"/>
        <w:ind w:left="567"/>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91336F" w14:paraId="19E4D4AB" w14:textId="77777777" w:rsidTr="009A018E">
        <w:tc>
          <w:tcPr>
            <w:tcW w:w="4707" w:type="dxa"/>
          </w:tcPr>
          <w:p w14:paraId="4EF1E125" w14:textId="77777777" w:rsidR="008F13BA" w:rsidRPr="000467AD" w:rsidRDefault="008C6B99" w:rsidP="00804F02">
            <w:pPr>
              <w:tabs>
                <w:tab w:val="left" w:pos="567"/>
              </w:tabs>
              <w:jc w:val="center"/>
              <w:rPr>
                <w:b/>
                <w:bCs/>
              </w:rPr>
            </w:pPr>
            <w:r w:rsidRPr="000467AD">
              <w:rPr>
                <w:rFonts w:ascii="Arial" w:hAnsi="Arial" w:cs="Arial"/>
                <w:b/>
                <w:bCs/>
              </w:rPr>
              <w:t>An exemplary council</w:t>
            </w:r>
          </w:p>
        </w:tc>
        <w:tc>
          <w:tcPr>
            <w:tcW w:w="4678" w:type="dxa"/>
          </w:tcPr>
          <w:p w14:paraId="305722F5" w14:textId="77777777" w:rsidR="008F13BA" w:rsidRPr="00B85F3A" w:rsidRDefault="008C6B99" w:rsidP="00804F02">
            <w:pPr>
              <w:tabs>
                <w:tab w:val="left" w:pos="567"/>
              </w:tabs>
              <w:jc w:val="center"/>
            </w:pPr>
            <w:r>
              <w:rPr>
                <w:rFonts w:ascii="Arial" w:hAnsi="Arial" w:cs="Arial"/>
              </w:rPr>
              <w:t>Thriving communities</w:t>
            </w:r>
          </w:p>
        </w:tc>
      </w:tr>
      <w:tr w:rsidR="0091336F" w14:paraId="0EE9D5E1" w14:textId="77777777" w:rsidTr="009A018E">
        <w:tc>
          <w:tcPr>
            <w:tcW w:w="4707" w:type="dxa"/>
          </w:tcPr>
          <w:p w14:paraId="7ABF586B" w14:textId="77777777" w:rsidR="008F13BA" w:rsidRPr="00B85F3A" w:rsidRDefault="008C6B99" w:rsidP="009A018E">
            <w:pPr>
              <w:tabs>
                <w:tab w:val="left" w:pos="567"/>
              </w:tabs>
              <w:spacing w:after="0"/>
              <w:jc w:val="center"/>
            </w:pPr>
            <w:r>
              <w:rPr>
                <w:rFonts w:ascii="Arial" w:hAnsi="Arial" w:cs="Arial"/>
              </w:rPr>
              <w:t>A fair local economy that works for everyone</w:t>
            </w:r>
          </w:p>
        </w:tc>
        <w:tc>
          <w:tcPr>
            <w:tcW w:w="4678" w:type="dxa"/>
          </w:tcPr>
          <w:p w14:paraId="19AFF8D5" w14:textId="77777777" w:rsidR="008F13BA" w:rsidRPr="00B85F3A" w:rsidRDefault="008C6B99" w:rsidP="00804F02">
            <w:pPr>
              <w:autoSpaceDE w:val="0"/>
              <w:autoSpaceDN w:val="0"/>
              <w:adjustRightInd w:val="0"/>
              <w:spacing w:after="0"/>
              <w:jc w:val="center"/>
            </w:pPr>
            <w:r>
              <w:rPr>
                <w:rFonts w:ascii="Arial" w:hAnsi="Arial" w:cs="Arial"/>
              </w:rPr>
              <w:t>Good homes, green spaces, healthy places</w:t>
            </w:r>
          </w:p>
        </w:tc>
      </w:tr>
    </w:tbl>
    <w:p w14:paraId="3BBECBB1" w14:textId="77777777" w:rsidR="00D1305C" w:rsidRPr="00D4431F" w:rsidRDefault="00D1305C" w:rsidP="002F1805">
      <w:pPr>
        <w:spacing w:after="0" w:line="240" w:lineRule="auto"/>
        <w:jc w:val="both"/>
        <w:rPr>
          <w:rFonts w:cstheme="minorHAnsi"/>
          <w:bCs/>
        </w:rPr>
      </w:pPr>
    </w:p>
    <w:p w14:paraId="21990C8F" w14:textId="77777777" w:rsidR="00D1305C" w:rsidRPr="008C37E1" w:rsidRDefault="008C6B99" w:rsidP="002F4B61">
      <w:pPr>
        <w:pStyle w:val="Heading2"/>
      </w:pPr>
      <w:r w:rsidRPr="008C37E1">
        <w:t>Background to the report</w:t>
      </w:r>
    </w:p>
    <w:p w14:paraId="078399D4" w14:textId="77777777" w:rsidR="002F1805" w:rsidRPr="002F1805" w:rsidRDefault="002F1805" w:rsidP="002F4B61">
      <w:pPr>
        <w:spacing w:after="0"/>
      </w:pPr>
    </w:p>
    <w:p w14:paraId="5EB0FF41" w14:textId="77777777" w:rsidR="00351641" w:rsidRPr="00351641" w:rsidRDefault="00351641" w:rsidP="00E10BF8">
      <w:pPr>
        <w:numPr>
          <w:ilvl w:val="0"/>
          <w:numId w:val="11"/>
        </w:numPr>
        <w:spacing w:after="0" w:line="240" w:lineRule="auto"/>
        <w:ind w:left="567" w:hanging="567"/>
        <w:jc w:val="both"/>
        <w:rPr>
          <w:rFonts w:cstheme="minorHAnsi"/>
          <w:bCs/>
          <w:iCs/>
        </w:rPr>
      </w:pPr>
      <w:r>
        <w:t xml:space="preserve">Once the external audit has been completed, the Regulations specify that the responsible financial officer must reconfirm on behalf of the authority that they are satisfied that the statement of accounts present a true and fair view of the financial position of the authority at the year end, and the income and expenditure for the year. The council is then required to: </w:t>
      </w:r>
    </w:p>
    <w:p w14:paraId="473D4504" w14:textId="77777777" w:rsidR="00351641" w:rsidRPr="00351641" w:rsidRDefault="00351641" w:rsidP="00351641">
      <w:pPr>
        <w:numPr>
          <w:ilvl w:val="0"/>
          <w:numId w:val="15"/>
        </w:numPr>
        <w:spacing w:after="0" w:line="240" w:lineRule="auto"/>
        <w:jc w:val="both"/>
        <w:rPr>
          <w:rFonts w:cstheme="minorHAnsi"/>
          <w:bCs/>
          <w:iCs/>
        </w:rPr>
      </w:pPr>
      <w:r>
        <w:t xml:space="preserve">consider, either by way of a committee, or by the members meeting as a whole, the statement of accounts; </w:t>
      </w:r>
    </w:p>
    <w:p w14:paraId="148D9395" w14:textId="77777777" w:rsidR="00D1305C" w:rsidRPr="00351641" w:rsidRDefault="00351641" w:rsidP="00351641">
      <w:pPr>
        <w:numPr>
          <w:ilvl w:val="0"/>
          <w:numId w:val="15"/>
        </w:numPr>
        <w:spacing w:after="0" w:line="240" w:lineRule="auto"/>
        <w:jc w:val="both"/>
        <w:rPr>
          <w:rFonts w:cstheme="minorHAnsi"/>
          <w:bCs/>
          <w:iCs/>
        </w:rPr>
      </w:pPr>
      <w:r>
        <w:t>approve the statement of accounts by a resolution of that committee or meeting;</w:t>
      </w:r>
    </w:p>
    <w:p w14:paraId="1663688A" w14:textId="77777777" w:rsidR="00351641" w:rsidRPr="00351641" w:rsidRDefault="00351641" w:rsidP="00351641">
      <w:pPr>
        <w:spacing w:after="0" w:line="240" w:lineRule="auto"/>
        <w:ind w:left="567"/>
        <w:jc w:val="both"/>
        <w:rPr>
          <w:rFonts w:cstheme="minorHAnsi"/>
          <w:bCs/>
          <w:iCs/>
        </w:rPr>
      </w:pPr>
    </w:p>
    <w:p w14:paraId="7EAE2C74" w14:textId="77777777" w:rsidR="00351641" w:rsidRPr="00351641" w:rsidRDefault="00351641" w:rsidP="002F1805">
      <w:pPr>
        <w:numPr>
          <w:ilvl w:val="0"/>
          <w:numId w:val="11"/>
        </w:numPr>
        <w:spacing w:after="0" w:line="240" w:lineRule="auto"/>
        <w:ind w:left="567" w:hanging="567"/>
        <w:jc w:val="both"/>
        <w:rPr>
          <w:rFonts w:cstheme="minorHAnsi"/>
          <w:bCs/>
          <w:iCs/>
        </w:rPr>
      </w:pPr>
      <w:r>
        <w:t>South Ribble Borough Council delegates the responsibility for the approval of the accounts to the Governance Committee.</w:t>
      </w:r>
    </w:p>
    <w:p w14:paraId="7AEC526D" w14:textId="77777777" w:rsidR="00351641" w:rsidRPr="00351641" w:rsidRDefault="00351641" w:rsidP="00351641">
      <w:pPr>
        <w:spacing w:after="0" w:line="240" w:lineRule="auto"/>
        <w:ind w:left="567"/>
        <w:jc w:val="both"/>
        <w:rPr>
          <w:rFonts w:cstheme="minorHAnsi"/>
          <w:bCs/>
          <w:iCs/>
        </w:rPr>
      </w:pPr>
    </w:p>
    <w:p w14:paraId="57231C34" w14:textId="77777777" w:rsidR="00351641" w:rsidRPr="00351641" w:rsidRDefault="00351641" w:rsidP="002F1805">
      <w:pPr>
        <w:numPr>
          <w:ilvl w:val="0"/>
          <w:numId w:val="11"/>
        </w:numPr>
        <w:spacing w:after="0" w:line="240" w:lineRule="auto"/>
        <w:ind w:left="567" w:hanging="567"/>
        <w:jc w:val="both"/>
        <w:rPr>
          <w:rFonts w:cstheme="minorHAnsi"/>
          <w:bCs/>
          <w:iCs/>
        </w:rPr>
      </w:pPr>
      <w:r>
        <w:t>The Governance Committee approved the 2021/22 Statement of Accounts at their meeting on 29 November subject to any amendments</w:t>
      </w:r>
      <w:r w:rsidR="00B34E61">
        <w:t>,</w:t>
      </w:r>
      <w:r>
        <w:t xml:space="preserve"> which in the opinion o</w:t>
      </w:r>
      <w:r w:rsidR="00B34E61">
        <w:t>f</w:t>
      </w:r>
      <w:r>
        <w:t xml:space="preserve"> the Director of Finance are material to the financial position of the council; in such case</w:t>
      </w:r>
      <w:r w:rsidR="00B34E61">
        <w:t>s</w:t>
      </w:r>
      <w:r>
        <w:t xml:space="preserve"> the Governance Committee would be asked to approve the updated Statement of Accounts.</w:t>
      </w:r>
    </w:p>
    <w:p w14:paraId="78FDD36D" w14:textId="77777777" w:rsidR="00351641" w:rsidRDefault="00351641" w:rsidP="00351641">
      <w:pPr>
        <w:pStyle w:val="ListParagraph"/>
        <w:rPr>
          <w:rFonts w:cstheme="minorHAnsi"/>
          <w:bCs/>
          <w:iCs/>
        </w:rPr>
      </w:pPr>
    </w:p>
    <w:p w14:paraId="3CA4E2F3" w14:textId="77777777" w:rsidR="00351641" w:rsidRDefault="00351641" w:rsidP="002F1805">
      <w:pPr>
        <w:numPr>
          <w:ilvl w:val="0"/>
          <w:numId w:val="11"/>
        </w:numPr>
        <w:spacing w:after="0" w:line="240" w:lineRule="auto"/>
        <w:ind w:left="567" w:hanging="567"/>
        <w:jc w:val="both"/>
        <w:rPr>
          <w:rFonts w:cstheme="minorHAnsi"/>
          <w:bCs/>
          <w:iCs/>
        </w:rPr>
      </w:pPr>
      <w:r>
        <w:rPr>
          <w:rFonts w:cstheme="minorHAnsi"/>
          <w:bCs/>
          <w:iCs/>
        </w:rPr>
        <w:t>As noted in the Audit Findings Report on th</w:t>
      </w:r>
      <w:r w:rsidR="00B34E61">
        <w:rPr>
          <w:rFonts w:cstheme="minorHAnsi"/>
          <w:bCs/>
          <w:iCs/>
        </w:rPr>
        <w:t xml:space="preserve">e agenda, </w:t>
      </w:r>
      <w:r>
        <w:rPr>
          <w:rFonts w:cstheme="minorHAnsi"/>
          <w:bCs/>
          <w:iCs/>
        </w:rPr>
        <w:t>presented by Grant Thornton, the</w:t>
      </w:r>
      <w:r w:rsidR="00B34E61">
        <w:rPr>
          <w:rFonts w:cstheme="minorHAnsi"/>
          <w:bCs/>
          <w:iCs/>
        </w:rPr>
        <w:t xml:space="preserve"> external auditors </w:t>
      </w:r>
      <w:r>
        <w:rPr>
          <w:rFonts w:cstheme="minorHAnsi"/>
          <w:bCs/>
          <w:iCs/>
        </w:rPr>
        <w:t>have now completed their audit work</w:t>
      </w:r>
      <w:r w:rsidR="00B34E61">
        <w:rPr>
          <w:rFonts w:cstheme="minorHAnsi"/>
          <w:bCs/>
          <w:iCs/>
        </w:rPr>
        <w:t xml:space="preserve">. In doing so, since 29 November </w:t>
      </w:r>
      <w:r>
        <w:rPr>
          <w:rFonts w:cstheme="minorHAnsi"/>
          <w:bCs/>
          <w:iCs/>
        </w:rPr>
        <w:t xml:space="preserve">they have identified </w:t>
      </w:r>
      <w:r w:rsidR="00672DCA">
        <w:rPr>
          <w:rFonts w:cstheme="minorHAnsi"/>
          <w:bCs/>
          <w:iCs/>
        </w:rPr>
        <w:t>4</w:t>
      </w:r>
      <w:r>
        <w:rPr>
          <w:rFonts w:cstheme="minorHAnsi"/>
          <w:bCs/>
          <w:iCs/>
        </w:rPr>
        <w:t xml:space="preserve"> adjustments </w:t>
      </w:r>
      <w:r w:rsidR="00B34E61">
        <w:rPr>
          <w:rFonts w:cstheme="minorHAnsi"/>
          <w:bCs/>
          <w:iCs/>
        </w:rPr>
        <w:t xml:space="preserve">required </w:t>
      </w:r>
      <w:r>
        <w:rPr>
          <w:rFonts w:cstheme="minorHAnsi"/>
          <w:bCs/>
          <w:iCs/>
        </w:rPr>
        <w:t xml:space="preserve">to the accounts which they have discussed with </w:t>
      </w:r>
      <w:r w:rsidR="00B34E61">
        <w:rPr>
          <w:rFonts w:cstheme="minorHAnsi"/>
          <w:bCs/>
          <w:iCs/>
        </w:rPr>
        <w:t>the</w:t>
      </w:r>
      <w:r>
        <w:rPr>
          <w:rFonts w:cstheme="minorHAnsi"/>
          <w:bCs/>
          <w:iCs/>
        </w:rPr>
        <w:t xml:space="preserve"> Director of Finance and her team; these amendments have been agreed and the 2021/22 Statement of Accounts updated accordingly.</w:t>
      </w:r>
    </w:p>
    <w:p w14:paraId="1CA362EA" w14:textId="77777777" w:rsidR="00351641" w:rsidRDefault="00351641" w:rsidP="00351641">
      <w:pPr>
        <w:pStyle w:val="ListParagraph"/>
        <w:rPr>
          <w:rFonts w:cstheme="minorHAnsi"/>
          <w:bCs/>
          <w:iCs/>
        </w:rPr>
      </w:pPr>
    </w:p>
    <w:p w14:paraId="43166E4B" w14:textId="77777777" w:rsidR="00351641" w:rsidRDefault="00351641" w:rsidP="00B34E61">
      <w:pPr>
        <w:numPr>
          <w:ilvl w:val="0"/>
          <w:numId w:val="11"/>
        </w:numPr>
        <w:spacing w:after="0" w:line="240" w:lineRule="auto"/>
        <w:ind w:left="567" w:hanging="567"/>
        <w:jc w:val="both"/>
        <w:rPr>
          <w:rFonts w:cstheme="minorHAnsi"/>
          <w:bCs/>
          <w:iCs/>
        </w:rPr>
      </w:pPr>
      <w:r>
        <w:rPr>
          <w:rFonts w:cstheme="minorHAnsi"/>
          <w:bCs/>
          <w:iCs/>
        </w:rPr>
        <w:t xml:space="preserve">The </w:t>
      </w:r>
      <w:r w:rsidR="00B34E61">
        <w:rPr>
          <w:rFonts w:cstheme="minorHAnsi"/>
          <w:bCs/>
          <w:iCs/>
        </w:rPr>
        <w:t xml:space="preserve">full list of </w:t>
      </w:r>
      <w:r>
        <w:rPr>
          <w:rFonts w:cstheme="minorHAnsi"/>
          <w:bCs/>
          <w:iCs/>
        </w:rPr>
        <w:t xml:space="preserve">adjustments </w:t>
      </w:r>
      <w:r w:rsidR="00B34E61">
        <w:rPr>
          <w:rFonts w:cstheme="minorHAnsi"/>
          <w:bCs/>
          <w:iCs/>
        </w:rPr>
        <w:t>identified by Grant Thornton to the Draft Statement of Accounts published on 4 August 2022 are set out below; this can also be found in Appendix C of the Audit Findings Report.</w:t>
      </w:r>
    </w:p>
    <w:p w14:paraId="4E92116E" w14:textId="77777777" w:rsidR="00D01FF9" w:rsidRDefault="00D01FF9" w:rsidP="00D01FF9">
      <w:pPr>
        <w:pStyle w:val="ListParagraph"/>
        <w:rPr>
          <w:rFonts w:cstheme="minorHAnsi"/>
          <w:bCs/>
          <w:iCs/>
        </w:rPr>
      </w:pPr>
    </w:p>
    <w:p w14:paraId="54B38F2A" w14:textId="77777777" w:rsidR="00D01FF9" w:rsidRDefault="00D01FF9" w:rsidP="00D01FF9">
      <w:pPr>
        <w:pStyle w:val="ListParagraph"/>
        <w:ind w:left="0"/>
        <w:rPr>
          <w:rFonts w:cstheme="minorHAnsi"/>
          <w:bCs/>
          <w:iCs/>
        </w:rPr>
      </w:pPr>
      <w:r>
        <w:rPr>
          <w:noProof/>
        </w:rPr>
        <w:lastRenderedPageBreak/>
        <w:drawing>
          <wp:inline distT="0" distB="0" distL="0" distR="0" wp14:anchorId="36CB0AB3" wp14:editId="26663731">
            <wp:extent cx="6403480" cy="25717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11749" cy="2575071"/>
                    </a:xfrm>
                    <a:prstGeom prst="rect">
                      <a:avLst/>
                    </a:prstGeom>
                  </pic:spPr>
                </pic:pic>
              </a:graphicData>
            </a:graphic>
          </wp:inline>
        </w:drawing>
      </w:r>
    </w:p>
    <w:p w14:paraId="07880ECF" w14:textId="77777777" w:rsidR="00351641" w:rsidRDefault="00351641" w:rsidP="00D04144">
      <w:pPr>
        <w:spacing w:after="0" w:line="240" w:lineRule="auto"/>
        <w:ind w:left="567"/>
        <w:jc w:val="both"/>
        <w:rPr>
          <w:rFonts w:cstheme="minorHAnsi"/>
          <w:bCs/>
          <w:iCs/>
        </w:rPr>
      </w:pPr>
    </w:p>
    <w:p w14:paraId="09ACD8CB" w14:textId="77777777" w:rsidR="00543959" w:rsidRDefault="00543959" w:rsidP="002F1805">
      <w:pPr>
        <w:numPr>
          <w:ilvl w:val="0"/>
          <w:numId w:val="11"/>
        </w:numPr>
        <w:spacing w:after="0" w:line="240" w:lineRule="auto"/>
        <w:ind w:left="567" w:hanging="567"/>
        <w:jc w:val="both"/>
        <w:rPr>
          <w:rFonts w:cstheme="minorHAnsi"/>
          <w:bCs/>
          <w:iCs/>
        </w:rPr>
      </w:pPr>
      <w:r>
        <w:rPr>
          <w:rFonts w:cstheme="minorHAnsi"/>
          <w:bCs/>
          <w:iCs/>
        </w:rPr>
        <w:t>In relation to each of the points above;</w:t>
      </w:r>
    </w:p>
    <w:p w14:paraId="4705A30F" w14:textId="77777777" w:rsidR="00D04144" w:rsidRDefault="00D04144" w:rsidP="00D04144">
      <w:pPr>
        <w:pStyle w:val="ListParagraph"/>
        <w:rPr>
          <w:rFonts w:cstheme="minorHAnsi"/>
          <w:bCs/>
          <w:iCs/>
        </w:rPr>
      </w:pPr>
    </w:p>
    <w:p w14:paraId="3E4D62F2" w14:textId="77777777" w:rsidR="00D04144" w:rsidRDefault="00543959" w:rsidP="005E7DD4">
      <w:pPr>
        <w:numPr>
          <w:ilvl w:val="0"/>
          <w:numId w:val="17"/>
        </w:numPr>
        <w:spacing w:after="0" w:line="240" w:lineRule="auto"/>
        <w:jc w:val="both"/>
        <w:rPr>
          <w:rFonts w:cstheme="minorHAnsi"/>
          <w:bCs/>
          <w:iCs/>
        </w:rPr>
      </w:pPr>
      <w:r>
        <w:rPr>
          <w:rFonts w:cstheme="minorHAnsi"/>
          <w:bCs/>
          <w:iCs/>
        </w:rPr>
        <w:t>The adjustment</w:t>
      </w:r>
      <w:r w:rsidR="007A6729">
        <w:rPr>
          <w:rFonts w:cstheme="minorHAnsi"/>
          <w:bCs/>
          <w:iCs/>
        </w:rPr>
        <w:t>s</w:t>
      </w:r>
      <w:r>
        <w:rPr>
          <w:rFonts w:cstheme="minorHAnsi"/>
          <w:bCs/>
          <w:iCs/>
        </w:rPr>
        <w:t xml:space="preserve"> </w:t>
      </w:r>
      <w:r w:rsidR="005E7DD4">
        <w:rPr>
          <w:rFonts w:cstheme="minorHAnsi"/>
          <w:bCs/>
          <w:iCs/>
        </w:rPr>
        <w:t xml:space="preserve">for </w:t>
      </w:r>
      <w:r>
        <w:rPr>
          <w:rFonts w:cstheme="minorHAnsi"/>
          <w:bCs/>
          <w:iCs/>
        </w:rPr>
        <w:t xml:space="preserve">the error </w:t>
      </w:r>
      <w:r w:rsidR="005E7DD4">
        <w:rPr>
          <w:rFonts w:cstheme="minorHAnsi"/>
          <w:bCs/>
          <w:iCs/>
        </w:rPr>
        <w:t>in the</w:t>
      </w:r>
      <w:r>
        <w:rPr>
          <w:rFonts w:cstheme="minorHAnsi"/>
          <w:bCs/>
          <w:iCs/>
        </w:rPr>
        <w:t xml:space="preserve"> incorporation of South Ribble Community Leisure Ltd pension liability and </w:t>
      </w:r>
      <w:r w:rsidR="00D04144">
        <w:rPr>
          <w:rFonts w:cstheme="minorHAnsi"/>
          <w:bCs/>
          <w:iCs/>
        </w:rPr>
        <w:t xml:space="preserve">the error in the recognition of a prior year prepayment of employer pension contribution reflect the fact that the draft accounts were based on the figures provided by the actuary in their original actuarial report produced </w:t>
      </w:r>
      <w:r w:rsidR="007A6729">
        <w:rPr>
          <w:rFonts w:cstheme="minorHAnsi"/>
          <w:bCs/>
          <w:iCs/>
        </w:rPr>
        <w:t>in June 2023.</w:t>
      </w:r>
      <w:r w:rsidR="005E7DD4">
        <w:rPr>
          <w:rFonts w:cstheme="minorHAnsi"/>
          <w:bCs/>
          <w:iCs/>
        </w:rPr>
        <w:t xml:space="preserve"> Fo</w:t>
      </w:r>
      <w:r w:rsidR="00D04144">
        <w:rPr>
          <w:rFonts w:cstheme="minorHAnsi"/>
          <w:bCs/>
          <w:iCs/>
        </w:rPr>
        <w:t>llowing challenge and questioning by both council officers and the auditors, the</w:t>
      </w:r>
      <w:r w:rsidR="007A6729">
        <w:rPr>
          <w:rFonts w:cstheme="minorHAnsi"/>
          <w:bCs/>
          <w:iCs/>
        </w:rPr>
        <w:t xml:space="preserve"> actuaries</w:t>
      </w:r>
      <w:r w:rsidR="00D04144">
        <w:rPr>
          <w:rFonts w:cstheme="minorHAnsi"/>
          <w:bCs/>
          <w:iCs/>
        </w:rPr>
        <w:t xml:space="preserve"> revised their figures and the revisions have been adjusted for accordingly. Although the overall net impact of the misstatement on </w:t>
      </w:r>
      <w:r w:rsidR="005E7DD4">
        <w:rPr>
          <w:rFonts w:cstheme="minorHAnsi"/>
          <w:bCs/>
          <w:iCs/>
        </w:rPr>
        <w:t xml:space="preserve">the </w:t>
      </w:r>
      <w:r w:rsidR="00D04144">
        <w:rPr>
          <w:rFonts w:cstheme="minorHAnsi"/>
          <w:bCs/>
          <w:iCs/>
        </w:rPr>
        <w:t>key financial statements is immaterial, the adjustmen</w:t>
      </w:r>
      <w:r w:rsidR="005E7DD4">
        <w:rPr>
          <w:rFonts w:cstheme="minorHAnsi"/>
          <w:bCs/>
          <w:iCs/>
        </w:rPr>
        <w:t>ts</w:t>
      </w:r>
      <w:r w:rsidR="00D04144">
        <w:rPr>
          <w:rFonts w:cstheme="minorHAnsi"/>
          <w:bCs/>
          <w:iCs/>
        </w:rPr>
        <w:t xml:space="preserve"> required </w:t>
      </w:r>
      <w:r w:rsidR="005E7DD4">
        <w:rPr>
          <w:rFonts w:cstheme="minorHAnsi"/>
          <w:bCs/>
          <w:iCs/>
        </w:rPr>
        <w:t>to</w:t>
      </w:r>
      <w:r w:rsidR="00D04144">
        <w:rPr>
          <w:rFonts w:cstheme="minorHAnsi"/>
          <w:bCs/>
          <w:iCs/>
        </w:rPr>
        <w:t xml:space="preserve"> the disclosure notes </w:t>
      </w:r>
      <w:r w:rsidR="005E7DD4">
        <w:rPr>
          <w:rFonts w:cstheme="minorHAnsi"/>
          <w:bCs/>
          <w:iCs/>
        </w:rPr>
        <w:t>in</w:t>
      </w:r>
      <w:r w:rsidR="00D04144">
        <w:rPr>
          <w:rFonts w:cstheme="minorHAnsi"/>
          <w:bCs/>
          <w:iCs/>
        </w:rPr>
        <w:t xml:space="preserve"> the accounts </w:t>
      </w:r>
      <w:r w:rsidR="007A6729">
        <w:rPr>
          <w:rFonts w:cstheme="minorHAnsi"/>
          <w:bCs/>
          <w:iCs/>
        </w:rPr>
        <w:t>are</w:t>
      </w:r>
      <w:r w:rsidR="005E7DD4">
        <w:rPr>
          <w:rFonts w:cstheme="minorHAnsi"/>
          <w:bCs/>
          <w:iCs/>
        </w:rPr>
        <w:t xml:space="preserve"> material as these reflect a breakdown of the figures in the key financial statements and are shown gross, rather than net.</w:t>
      </w:r>
    </w:p>
    <w:p w14:paraId="39D9B85A" w14:textId="77777777" w:rsidR="005E7DD4" w:rsidRDefault="005E7DD4" w:rsidP="005E7DD4">
      <w:pPr>
        <w:spacing w:after="0" w:line="240" w:lineRule="auto"/>
        <w:ind w:left="927"/>
        <w:jc w:val="both"/>
        <w:rPr>
          <w:rFonts w:cstheme="minorHAnsi"/>
          <w:bCs/>
          <w:iCs/>
        </w:rPr>
      </w:pPr>
    </w:p>
    <w:p w14:paraId="708237BF" w14:textId="77777777" w:rsidR="00D04144" w:rsidRDefault="00D04144" w:rsidP="00D04144">
      <w:pPr>
        <w:numPr>
          <w:ilvl w:val="0"/>
          <w:numId w:val="17"/>
        </w:numPr>
        <w:spacing w:after="0" w:line="240" w:lineRule="auto"/>
        <w:jc w:val="both"/>
        <w:rPr>
          <w:rFonts w:cstheme="minorHAnsi"/>
          <w:bCs/>
          <w:iCs/>
        </w:rPr>
      </w:pPr>
      <w:r>
        <w:rPr>
          <w:rFonts w:cstheme="minorHAnsi"/>
          <w:bCs/>
          <w:iCs/>
        </w:rPr>
        <w:t xml:space="preserve">The adjustment in the cash balances </w:t>
      </w:r>
      <w:r w:rsidR="007A6729">
        <w:rPr>
          <w:rFonts w:cstheme="minorHAnsi"/>
          <w:bCs/>
          <w:iCs/>
        </w:rPr>
        <w:t xml:space="preserve">relates to </w:t>
      </w:r>
      <w:r>
        <w:rPr>
          <w:rFonts w:cstheme="minorHAnsi"/>
          <w:bCs/>
          <w:iCs/>
        </w:rPr>
        <w:t xml:space="preserve">the consolidated accounts </w:t>
      </w:r>
      <w:r w:rsidR="007A6729">
        <w:rPr>
          <w:rFonts w:cstheme="minorHAnsi"/>
          <w:bCs/>
          <w:iCs/>
        </w:rPr>
        <w:t xml:space="preserve">rather than the South Ribble Council entity accounts; this due to the fact that </w:t>
      </w:r>
      <w:r>
        <w:rPr>
          <w:rFonts w:cstheme="minorHAnsi"/>
          <w:bCs/>
          <w:iCs/>
        </w:rPr>
        <w:t xml:space="preserve">a transfer in income received by the council on </w:t>
      </w:r>
      <w:r w:rsidR="005E7DD4">
        <w:rPr>
          <w:rFonts w:cstheme="minorHAnsi"/>
          <w:bCs/>
          <w:iCs/>
        </w:rPr>
        <w:t xml:space="preserve">behalf of </w:t>
      </w:r>
      <w:r>
        <w:rPr>
          <w:rFonts w:cstheme="minorHAnsi"/>
          <w:bCs/>
          <w:iCs/>
        </w:rPr>
        <w:t>the leisure compan</w:t>
      </w:r>
      <w:r w:rsidR="007A6729">
        <w:rPr>
          <w:rFonts w:cstheme="minorHAnsi"/>
          <w:bCs/>
          <w:iCs/>
        </w:rPr>
        <w:t>y</w:t>
      </w:r>
      <w:r>
        <w:rPr>
          <w:rFonts w:cstheme="minorHAnsi"/>
          <w:bCs/>
          <w:iCs/>
        </w:rPr>
        <w:t xml:space="preserve"> was treated as a cash payment in the council’s accounts but as a debtor in the leisure company’s accounts</w:t>
      </w:r>
      <w:r w:rsidR="007A6729">
        <w:rPr>
          <w:rFonts w:cstheme="minorHAnsi"/>
          <w:bCs/>
          <w:iCs/>
        </w:rPr>
        <w:t xml:space="preserve"> rather than a cash receipt</w:t>
      </w:r>
      <w:r>
        <w:rPr>
          <w:rFonts w:cstheme="minorHAnsi"/>
          <w:bCs/>
          <w:iCs/>
        </w:rPr>
        <w:t>; this has been adjusted in the leisure company’s accounts with the balance moved from Debtors to Cash;</w:t>
      </w:r>
    </w:p>
    <w:p w14:paraId="4EA19F89" w14:textId="77777777" w:rsidR="00D04144" w:rsidRDefault="00D04144" w:rsidP="00D04144">
      <w:pPr>
        <w:pStyle w:val="ListParagraph"/>
        <w:rPr>
          <w:rFonts w:cstheme="minorHAnsi"/>
          <w:bCs/>
          <w:iCs/>
        </w:rPr>
      </w:pPr>
    </w:p>
    <w:p w14:paraId="29721C12" w14:textId="77777777" w:rsidR="00FC05E1" w:rsidRDefault="00D04144" w:rsidP="00D04144">
      <w:pPr>
        <w:numPr>
          <w:ilvl w:val="0"/>
          <w:numId w:val="17"/>
        </w:numPr>
        <w:spacing w:after="0" w:line="240" w:lineRule="auto"/>
        <w:jc w:val="both"/>
        <w:rPr>
          <w:rFonts w:cstheme="minorHAnsi"/>
          <w:bCs/>
          <w:iCs/>
        </w:rPr>
      </w:pPr>
      <w:r>
        <w:rPr>
          <w:rFonts w:cstheme="minorHAnsi"/>
          <w:bCs/>
          <w:iCs/>
        </w:rPr>
        <w:t xml:space="preserve">The revaluation of the Hurst Grange asset </w:t>
      </w:r>
      <w:r w:rsidR="00FC05E1">
        <w:rPr>
          <w:rFonts w:cstheme="minorHAnsi"/>
          <w:bCs/>
          <w:iCs/>
        </w:rPr>
        <w:t>had not been reflected in the</w:t>
      </w:r>
      <w:r w:rsidR="004D00CB">
        <w:rPr>
          <w:rFonts w:cstheme="minorHAnsi"/>
          <w:bCs/>
          <w:iCs/>
        </w:rPr>
        <w:t xml:space="preserve"> </w:t>
      </w:r>
      <w:r w:rsidR="00FC05E1">
        <w:rPr>
          <w:rFonts w:cstheme="minorHAnsi"/>
          <w:bCs/>
          <w:iCs/>
        </w:rPr>
        <w:t>asset register and draft accounts; the adjustment reflects the correction of this omission.</w:t>
      </w:r>
    </w:p>
    <w:p w14:paraId="19AB9517" w14:textId="77777777" w:rsidR="00FC05E1" w:rsidRDefault="00FC05E1" w:rsidP="00FC05E1">
      <w:pPr>
        <w:pStyle w:val="ListParagraph"/>
        <w:rPr>
          <w:rFonts w:cstheme="minorHAnsi"/>
          <w:bCs/>
          <w:iCs/>
        </w:rPr>
      </w:pPr>
    </w:p>
    <w:p w14:paraId="66834FD2" w14:textId="77777777" w:rsidR="00CD4005" w:rsidRPr="00FC05E1" w:rsidRDefault="00FC05E1" w:rsidP="00FC05E1">
      <w:pPr>
        <w:numPr>
          <w:ilvl w:val="0"/>
          <w:numId w:val="17"/>
        </w:numPr>
        <w:spacing w:after="0" w:line="240" w:lineRule="auto"/>
        <w:jc w:val="both"/>
      </w:pPr>
      <w:r>
        <w:rPr>
          <w:rFonts w:cstheme="minorHAnsi"/>
          <w:bCs/>
          <w:iCs/>
        </w:rPr>
        <w:t xml:space="preserve">The final adjustment relates to double counting of component assets, i.e. </w:t>
      </w:r>
      <w:r w:rsidR="008C6B99">
        <w:rPr>
          <w:rFonts w:cstheme="minorHAnsi"/>
          <w:bCs/>
          <w:iCs/>
        </w:rPr>
        <w:t xml:space="preserve">assets </w:t>
      </w:r>
      <w:r>
        <w:rPr>
          <w:rFonts w:cstheme="minorHAnsi"/>
          <w:bCs/>
          <w:iCs/>
        </w:rPr>
        <w:t xml:space="preserve">included in the accounts as a component in their own right, </w:t>
      </w:r>
      <w:r w:rsidR="008C6B99">
        <w:rPr>
          <w:rFonts w:cstheme="minorHAnsi"/>
          <w:bCs/>
          <w:iCs/>
        </w:rPr>
        <w:t xml:space="preserve">which had </w:t>
      </w:r>
      <w:r>
        <w:rPr>
          <w:rFonts w:cstheme="minorHAnsi"/>
          <w:bCs/>
          <w:iCs/>
        </w:rPr>
        <w:t xml:space="preserve">also </w:t>
      </w:r>
      <w:r w:rsidR="008C6B99">
        <w:rPr>
          <w:rFonts w:cstheme="minorHAnsi"/>
          <w:bCs/>
          <w:iCs/>
        </w:rPr>
        <w:t xml:space="preserve">been included in </w:t>
      </w:r>
      <w:r>
        <w:rPr>
          <w:rFonts w:cstheme="minorHAnsi"/>
          <w:bCs/>
          <w:iCs/>
        </w:rPr>
        <w:t xml:space="preserve">the valuation of the overall building </w:t>
      </w:r>
      <w:proofErr w:type="spellStart"/>
      <w:r w:rsidR="008C6B99">
        <w:rPr>
          <w:rFonts w:cstheme="minorHAnsi"/>
          <w:bCs/>
          <w:iCs/>
        </w:rPr>
        <w:t>asset,</w:t>
      </w:r>
      <w:r>
        <w:rPr>
          <w:rFonts w:cstheme="minorHAnsi"/>
          <w:bCs/>
          <w:iCs/>
        </w:rPr>
        <w:t>in</w:t>
      </w:r>
      <w:proofErr w:type="spellEnd"/>
      <w:r>
        <w:rPr>
          <w:rFonts w:cstheme="minorHAnsi"/>
          <w:bCs/>
          <w:iCs/>
        </w:rPr>
        <w:t xml:space="preserve"> which they are a component part.</w:t>
      </w:r>
    </w:p>
    <w:p w14:paraId="569A1B88" w14:textId="77777777" w:rsidR="00FC05E1" w:rsidRDefault="00FC05E1" w:rsidP="00FC05E1">
      <w:pPr>
        <w:pStyle w:val="ListParagraph"/>
      </w:pPr>
    </w:p>
    <w:p w14:paraId="711F0DFD" w14:textId="77777777" w:rsidR="008B2D37" w:rsidRPr="008C37E1" w:rsidRDefault="008C6B99" w:rsidP="002F4B61">
      <w:pPr>
        <w:pStyle w:val="Heading2"/>
      </w:pPr>
      <w:bookmarkStart w:id="1" w:name="_Hlk107392085"/>
      <w:r w:rsidRPr="008C37E1">
        <w:t>Climate change and air quality</w:t>
      </w:r>
    </w:p>
    <w:p w14:paraId="4F689E17"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7B85C9DE" w14:textId="77777777" w:rsidR="002F4B61" w:rsidRPr="002F4B61" w:rsidRDefault="008C6B99" w:rsidP="00D32CCE">
      <w:pPr>
        <w:pStyle w:val="ListParagraph"/>
        <w:numPr>
          <w:ilvl w:val="0"/>
          <w:numId w:val="11"/>
        </w:numPr>
        <w:spacing w:after="0" w:line="240" w:lineRule="auto"/>
        <w:ind w:left="567" w:hanging="567"/>
        <w:jc w:val="both"/>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569E50F8"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129515BC" w14:textId="77777777" w:rsidR="008B2D37" w:rsidRPr="008C37E1" w:rsidRDefault="008C6B99" w:rsidP="00163649">
      <w:pPr>
        <w:pStyle w:val="Heading2"/>
      </w:pPr>
      <w:bookmarkStart w:id="2" w:name="_Hlk107392059"/>
      <w:bookmarkEnd w:id="1"/>
      <w:r w:rsidRPr="008C37E1">
        <w:t>Equality and diversity</w:t>
      </w:r>
    </w:p>
    <w:p w14:paraId="7C6F8664" w14:textId="77777777" w:rsidR="008B2D37" w:rsidRPr="00ED4FF1" w:rsidRDefault="008B2D37" w:rsidP="00163649">
      <w:pPr>
        <w:spacing w:after="0"/>
      </w:pPr>
    </w:p>
    <w:p w14:paraId="5D8393E7" w14:textId="77777777" w:rsidR="008B2D37" w:rsidRPr="00163649" w:rsidRDefault="00351641" w:rsidP="00163649">
      <w:pPr>
        <w:pStyle w:val="ListParagraph"/>
        <w:numPr>
          <w:ilvl w:val="0"/>
          <w:numId w:val="11"/>
        </w:numPr>
        <w:spacing w:after="0"/>
        <w:ind w:left="567" w:hanging="567"/>
        <w:rPr>
          <w:rFonts w:cstheme="minorHAnsi"/>
          <w:iCs/>
        </w:rPr>
      </w:pPr>
      <w:r>
        <w:t>This</w:t>
      </w:r>
      <w:r w:rsidR="008C6B99" w:rsidRPr="00584159">
        <w:t xml:space="preserve"> </w:t>
      </w:r>
      <w:r>
        <w:t>report has no implications in respect of equality and diversity</w:t>
      </w:r>
      <w:r w:rsidR="008C6B99" w:rsidRPr="00584159">
        <w:t xml:space="preserve">. </w:t>
      </w:r>
    </w:p>
    <w:p w14:paraId="1BCDDC36" w14:textId="77777777" w:rsidR="00584159" w:rsidRPr="00584159" w:rsidRDefault="00584159" w:rsidP="00163649">
      <w:pPr>
        <w:spacing w:after="0"/>
        <w:rPr>
          <w:rFonts w:cstheme="minorHAnsi"/>
          <w:iCs/>
        </w:rPr>
      </w:pPr>
    </w:p>
    <w:p w14:paraId="4385CE8C" w14:textId="77777777" w:rsidR="008B2D37" w:rsidRPr="008C37E1" w:rsidRDefault="008C6B99" w:rsidP="001D3B9C">
      <w:pPr>
        <w:pStyle w:val="Heading2"/>
      </w:pPr>
      <w:r w:rsidRPr="008C37E1">
        <w:t>Risk</w:t>
      </w:r>
    </w:p>
    <w:bookmarkEnd w:id="2"/>
    <w:p w14:paraId="7F519CE8" w14:textId="77777777" w:rsidR="008B2D37" w:rsidRDefault="008B2D37" w:rsidP="008B2D37">
      <w:pPr>
        <w:spacing w:after="0"/>
      </w:pPr>
    </w:p>
    <w:p w14:paraId="78FD7E7E" w14:textId="77777777" w:rsidR="008B2D37" w:rsidRPr="001D3B9C" w:rsidRDefault="00D32CCE" w:rsidP="00D32CCE">
      <w:pPr>
        <w:pStyle w:val="ListParagraph"/>
        <w:numPr>
          <w:ilvl w:val="0"/>
          <w:numId w:val="11"/>
        </w:numPr>
        <w:spacing w:after="0"/>
        <w:ind w:left="567" w:hanging="567"/>
        <w:jc w:val="both"/>
        <w:rPr>
          <w:b/>
          <w:bCs/>
        </w:rPr>
      </w:pPr>
      <w:r>
        <w:t>The accounts must be compliant with the relevant standards and must be prepared on a true and fair view basis. Failure to comply could result in a failure to meet the statutory duty</w:t>
      </w:r>
      <w:r w:rsidR="008C6B99" w:rsidRPr="00A964C7">
        <w:t>.</w:t>
      </w:r>
    </w:p>
    <w:p w14:paraId="2FEA9EB0" w14:textId="77777777" w:rsidR="00D1305C" w:rsidRPr="002F1805" w:rsidRDefault="00D1305C" w:rsidP="001D3B9C">
      <w:pPr>
        <w:spacing w:after="0"/>
        <w:rPr>
          <w:rFonts w:cstheme="minorHAnsi"/>
          <w:b/>
          <w:bCs/>
          <w:sz w:val="20"/>
          <w:szCs w:val="20"/>
        </w:rPr>
      </w:pPr>
    </w:p>
    <w:p w14:paraId="56D6839A" w14:textId="77777777" w:rsidR="00D1305C" w:rsidRDefault="008C6B99" w:rsidP="006D56BC">
      <w:pPr>
        <w:pStyle w:val="Heading2"/>
      </w:pPr>
      <w:r w:rsidRPr="008C37E1">
        <w:t>Comments of the Statutory Finance Officer</w:t>
      </w:r>
    </w:p>
    <w:p w14:paraId="7E839796" w14:textId="77777777" w:rsidR="008C37E1" w:rsidRPr="008C37E1" w:rsidRDefault="008C37E1" w:rsidP="006D56BC">
      <w:pPr>
        <w:spacing w:after="0"/>
      </w:pPr>
    </w:p>
    <w:p w14:paraId="195B643C" w14:textId="77777777" w:rsidR="00D1305C" w:rsidRPr="00D32CCE" w:rsidRDefault="00D32CCE" w:rsidP="00E10BF8">
      <w:pPr>
        <w:numPr>
          <w:ilvl w:val="0"/>
          <w:numId w:val="11"/>
        </w:numPr>
        <w:spacing w:after="0" w:line="240" w:lineRule="auto"/>
        <w:ind w:left="567" w:hanging="567"/>
        <w:jc w:val="both"/>
        <w:rPr>
          <w:rFonts w:cstheme="minorHAnsi"/>
          <w:bCs/>
          <w:iCs/>
        </w:rPr>
      </w:pPr>
      <w:r>
        <w:t>The report meets the statutory accounting requirements for the Statement of Accounts to be produced</w:t>
      </w:r>
      <w:r w:rsidR="008C6B99">
        <w:t>,</w:t>
      </w:r>
      <w:r>
        <w:t xml:space="preserve"> </w:t>
      </w:r>
      <w:r w:rsidR="008C6B99">
        <w:t xml:space="preserve">which must present </w:t>
      </w:r>
      <w:r>
        <w:t xml:space="preserve">a factual statement of the income and expenditure flows over the course of the 2021/22 financial year, and a snapshot of the Balance Sheet position as at 31st March 2022. </w:t>
      </w:r>
    </w:p>
    <w:p w14:paraId="62210652" w14:textId="77777777" w:rsidR="00D32CCE" w:rsidRPr="00D32CCE" w:rsidRDefault="00D32CCE" w:rsidP="00D32CCE">
      <w:pPr>
        <w:spacing w:after="0" w:line="240" w:lineRule="auto"/>
        <w:ind w:left="567"/>
        <w:jc w:val="both"/>
        <w:rPr>
          <w:rFonts w:cstheme="minorHAnsi"/>
          <w:bCs/>
          <w:iCs/>
        </w:rPr>
      </w:pPr>
    </w:p>
    <w:p w14:paraId="27FC5E4B" w14:textId="77777777" w:rsidR="00D32CCE" w:rsidRPr="00883AC9" w:rsidRDefault="00D32CCE" w:rsidP="00E10BF8">
      <w:pPr>
        <w:numPr>
          <w:ilvl w:val="0"/>
          <w:numId w:val="11"/>
        </w:numPr>
        <w:spacing w:after="0" w:line="240" w:lineRule="auto"/>
        <w:ind w:left="567" w:hanging="567"/>
        <w:jc w:val="both"/>
        <w:rPr>
          <w:rFonts w:cstheme="minorHAnsi"/>
          <w:bCs/>
          <w:iCs/>
        </w:rPr>
      </w:pPr>
      <w:r>
        <w:t xml:space="preserve">All financial implications relating to the final budget outturn position have been set out in the Revenue and Capital Outturn Reports 2021/22, </w:t>
      </w:r>
      <w:r w:rsidR="008C6B99">
        <w:t xml:space="preserve">and </w:t>
      </w:r>
      <w:r>
        <w:t>which were considered by Cabinet on 20 June 2022.</w:t>
      </w:r>
    </w:p>
    <w:p w14:paraId="17BA294F" w14:textId="77777777" w:rsidR="00D1305C" w:rsidRPr="00D4431F" w:rsidRDefault="00D1305C" w:rsidP="002F1805">
      <w:pPr>
        <w:spacing w:after="0" w:line="240" w:lineRule="auto"/>
        <w:jc w:val="both"/>
        <w:rPr>
          <w:rFonts w:cstheme="minorHAnsi"/>
          <w:bCs/>
        </w:rPr>
      </w:pPr>
    </w:p>
    <w:p w14:paraId="5BCF68CE" w14:textId="77777777" w:rsidR="00D1305C" w:rsidRDefault="008C6B99" w:rsidP="006D56BC">
      <w:pPr>
        <w:pStyle w:val="Heading2"/>
      </w:pPr>
      <w:r w:rsidRPr="008C37E1">
        <w:t>Comments of the Monitoring Officer</w:t>
      </w:r>
    </w:p>
    <w:p w14:paraId="3EF48E03" w14:textId="77777777" w:rsidR="008C37E1" w:rsidRPr="008C37E1" w:rsidRDefault="008C37E1" w:rsidP="00465B5C">
      <w:pPr>
        <w:spacing w:after="0"/>
      </w:pPr>
    </w:p>
    <w:p w14:paraId="46F8E780" w14:textId="77777777" w:rsidR="00D1305C" w:rsidRPr="008C6B99" w:rsidRDefault="00D32CCE" w:rsidP="00E10BF8">
      <w:pPr>
        <w:numPr>
          <w:ilvl w:val="0"/>
          <w:numId w:val="11"/>
        </w:numPr>
        <w:spacing w:after="0" w:line="240" w:lineRule="auto"/>
        <w:ind w:left="567" w:hanging="567"/>
        <w:jc w:val="both"/>
        <w:rPr>
          <w:rFonts w:cstheme="minorHAnsi"/>
          <w:bCs/>
          <w:iCs/>
        </w:rPr>
      </w:pPr>
      <w:r w:rsidRPr="008C6B99">
        <w:rPr>
          <w:rFonts w:cstheme="minorHAnsi"/>
          <w:bCs/>
          <w:iCs/>
        </w:rPr>
        <w:t xml:space="preserve">The </w:t>
      </w:r>
      <w:r w:rsidRPr="008C6B99">
        <w:t>legal implications are in respect of the Accounts and Audit Regulations 2015 (as amended) 2022, and the requirement that the accounts must be compliant with the relevant accounting standards and codes of practice and must be prepared on a true and fair view basis. Failure to comply could result in a failure to meet the statutory duty</w:t>
      </w:r>
      <w:r w:rsidR="008C6B99" w:rsidRPr="008C6B99">
        <w:rPr>
          <w:rFonts w:cstheme="minorHAnsi"/>
          <w:bCs/>
          <w:iCs/>
        </w:rPr>
        <w:t xml:space="preserve">. </w:t>
      </w:r>
    </w:p>
    <w:p w14:paraId="55D5EE3E" w14:textId="77777777" w:rsidR="00D1305C" w:rsidRPr="002F1805" w:rsidRDefault="00D1305C" w:rsidP="006D56BC">
      <w:pPr>
        <w:spacing w:after="0"/>
      </w:pPr>
    </w:p>
    <w:p w14:paraId="0B21AB13" w14:textId="77777777" w:rsidR="006D56BC" w:rsidRDefault="008C6B99"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25ACB69F" w14:textId="77777777" w:rsidR="006D56BC" w:rsidRDefault="006D56BC" w:rsidP="006D56BC">
      <w:pPr>
        <w:spacing w:after="0" w:line="20" w:lineRule="atLeast"/>
        <w:rPr>
          <w:lang w:eastAsia="en-GB"/>
        </w:rPr>
      </w:pPr>
    </w:p>
    <w:p w14:paraId="6DE6A682" w14:textId="77777777" w:rsidR="00F97801" w:rsidRDefault="00F97801" w:rsidP="00F97801">
      <w:pPr>
        <w:pStyle w:val="ListParagraph"/>
        <w:numPr>
          <w:ilvl w:val="0"/>
          <w:numId w:val="16"/>
        </w:numPr>
        <w:spacing w:after="0" w:line="20" w:lineRule="atLeast"/>
      </w:pPr>
      <w:r>
        <w:t xml:space="preserve">Accounts and Audit (England) Regulations 2015 (as amended) 2022 </w:t>
      </w:r>
    </w:p>
    <w:p w14:paraId="448EC4A2" w14:textId="77777777" w:rsidR="00F97801" w:rsidRPr="00F97801" w:rsidRDefault="00F97801" w:rsidP="00F97801">
      <w:pPr>
        <w:pStyle w:val="ListParagraph"/>
        <w:numPr>
          <w:ilvl w:val="0"/>
          <w:numId w:val="16"/>
        </w:numPr>
        <w:spacing w:after="0" w:line="20" w:lineRule="atLeast"/>
        <w:rPr>
          <w:iCs/>
        </w:rPr>
      </w:pPr>
      <w:r>
        <w:t>CIPFA Code of Practice on Local Authority Accounting in the United Kingdom 2021/22</w:t>
      </w:r>
    </w:p>
    <w:p w14:paraId="341A5AFC" w14:textId="77777777" w:rsidR="00D1305C" w:rsidRPr="002F1805" w:rsidRDefault="008C6B99" w:rsidP="006D56BC">
      <w:pPr>
        <w:spacing w:after="0" w:line="20" w:lineRule="atLeast"/>
        <w:rPr>
          <w:iCs/>
        </w:rPr>
      </w:pPr>
      <w:r w:rsidRPr="002F1805">
        <w:rPr>
          <w:iCs/>
        </w:rPr>
        <w:t>.</w:t>
      </w:r>
    </w:p>
    <w:p w14:paraId="7221511B" w14:textId="77777777" w:rsidR="002F1805" w:rsidRPr="002F1805" w:rsidRDefault="002F1805" w:rsidP="006D56BC">
      <w:pPr>
        <w:spacing w:after="0"/>
      </w:pPr>
    </w:p>
    <w:p w14:paraId="033177AB"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815"/>
        <w:gridCol w:w="1443"/>
        <w:gridCol w:w="1048"/>
      </w:tblGrid>
      <w:tr w:rsidR="0091336F" w14:paraId="57F81002" w14:textId="77777777" w:rsidTr="008D541D">
        <w:tc>
          <w:tcPr>
            <w:tcW w:w="3645" w:type="dxa"/>
            <w:shd w:val="clear" w:color="auto" w:fill="auto"/>
          </w:tcPr>
          <w:p w14:paraId="1BC87C2B" w14:textId="77777777" w:rsidR="00D1305C" w:rsidRPr="00D1305C" w:rsidRDefault="008C6B9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75503511" w14:textId="77777777" w:rsidR="00D1305C" w:rsidRPr="00D1305C" w:rsidRDefault="008C6B9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110CDE8" w14:textId="77777777" w:rsidR="00D1305C" w:rsidRPr="00D1305C" w:rsidRDefault="008C6B9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1CB7F328" w14:textId="77777777" w:rsidR="00D1305C" w:rsidRPr="00D1305C" w:rsidRDefault="008C6B9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91336F" w14:paraId="7CC93021" w14:textId="77777777" w:rsidTr="008D541D">
        <w:tc>
          <w:tcPr>
            <w:tcW w:w="3645" w:type="dxa"/>
            <w:shd w:val="clear" w:color="auto" w:fill="auto"/>
          </w:tcPr>
          <w:p w14:paraId="628B0BB2" w14:textId="77777777" w:rsidR="00D1305C" w:rsidRPr="00D1305C" w:rsidRDefault="008C6B99"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Louise Mattinson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Finance and Section 151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0B4C85E2" w14:textId="77777777" w:rsidR="00D1305C" w:rsidRPr="00D1305C" w:rsidRDefault="008C6B9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louise.mattinson@southribble.gov.uk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11B8D6E4" w14:textId="77777777" w:rsidR="00D1305C" w:rsidRPr="00D1305C" w:rsidRDefault="00D32CCE" w:rsidP="00EF0D35">
            <w:pPr>
              <w:jc w:val="both"/>
              <w:rPr>
                <w:rFonts w:eastAsia="Times New Roman" w:cstheme="minorHAnsi"/>
                <w:bCs/>
                <w:color w:val="000000" w:themeColor="text1"/>
                <w:kern w:val="36"/>
                <w:lang w:eastAsia="en-GB"/>
              </w:rPr>
            </w:pPr>
            <w:r>
              <w:t>01772 625625</w:t>
            </w:r>
            <w:r w:rsidR="008C6B99">
              <w:rPr>
                <w:rFonts w:eastAsia="Times New Roman" w:cstheme="minorHAnsi"/>
                <w:bCs/>
                <w:color w:val="000000" w:themeColor="text1"/>
                <w:kern w:val="36"/>
                <w:lang w:eastAsia="en-GB"/>
              </w:rPr>
              <w:fldChar w:fldCharType="begin"/>
            </w:r>
            <w:r w:rsidR="008C6B99">
              <w:rPr>
                <w:rFonts w:eastAsia="Times New Roman" w:cstheme="minorHAnsi"/>
                <w:bCs/>
                <w:color w:val="000000" w:themeColor="text1"/>
                <w:kern w:val="36"/>
                <w:lang w:eastAsia="en-GB"/>
              </w:rPr>
              <w:instrText xml:space="preserve"> DOCPROPERTY  LeadOfficerTel  \* MERGEFORMAT </w:instrText>
            </w:r>
            <w:r w:rsidR="008C6B99">
              <w:rPr>
                <w:rFonts w:eastAsia="Times New Roman" w:cstheme="minorHAnsi"/>
                <w:bCs/>
                <w:color w:val="000000" w:themeColor="text1"/>
                <w:kern w:val="36"/>
                <w:lang w:eastAsia="en-GB"/>
              </w:rPr>
              <w:fldChar w:fldCharType="end"/>
            </w:r>
          </w:p>
        </w:tc>
        <w:tc>
          <w:tcPr>
            <w:tcW w:w="1180" w:type="dxa"/>
            <w:shd w:val="clear" w:color="auto" w:fill="auto"/>
          </w:tcPr>
          <w:p w14:paraId="7B18AD9C" w14:textId="77777777" w:rsidR="00D1305C" w:rsidRPr="00D1305C" w:rsidRDefault="00D32CCE"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 March 2023</w:t>
            </w:r>
          </w:p>
        </w:tc>
      </w:tr>
    </w:tbl>
    <w:p w14:paraId="4D4868EF" w14:textId="77777777" w:rsidR="0025620C" w:rsidRPr="00A95452" w:rsidRDefault="0025620C" w:rsidP="006D56BC">
      <w:pPr>
        <w:spacing w:after="0" w:line="240" w:lineRule="auto"/>
      </w:pPr>
    </w:p>
    <w:sectPr w:rsidR="0025620C" w:rsidRPr="00A95452" w:rsidSect="00672DCA">
      <w:pgSz w:w="11906" w:h="16838"/>
      <w:pgMar w:top="851"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8E3"/>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15:restartNumberingAfterBreak="0">
    <w:nsid w:val="07685A61"/>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2" w15:restartNumberingAfterBreak="0">
    <w:nsid w:val="0955318B"/>
    <w:multiLevelType w:val="hybridMultilevel"/>
    <w:tmpl w:val="BA2EFF00"/>
    <w:lvl w:ilvl="0" w:tplc="273ECC08">
      <w:start w:val="1"/>
      <w:numFmt w:val="decimal"/>
      <w:lvlText w:val="%1."/>
      <w:lvlJc w:val="left"/>
      <w:pPr>
        <w:ind w:left="720" w:hanging="360"/>
      </w:pPr>
    </w:lvl>
    <w:lvl w:ilvl="1" w:tplc="D63673DC" w:tentative="1">
      <w:start w:val="1"/>
      <w:numFmt w:val="lowerLetter"/>
      <w:lvlText w:val="%2."/>
      <w:lvlJc w:val="left"/>
      <w:pPr>
        <w:ind w:left="1440" w:hanging="360"/>
      </w:pPr>
    </w:lvl>
    <w:lvl w:ilvl="2" w:tplc="3A0E77A2" w:tentative="1">
      <w:start w:val="1"/>
      <w:numFmt w:val="lowerRoman"/>
      <w:lvlText w:val="%3."/>
      <w:lvlJc w:val="right"/>
      <w:pPr>
        <w:ind w:left="2160" w:hanging="180"/>
      </w:pPr>
    </w:lvl>
    <w:lvl w:ilvl="3" w:tplc="2836E35E" w:tentative="1">
      <w:start w:val="1"/>
      <w:numFmt w:val="decimal"/>
      <w:lvlText w:val="%4."/>
      <w:lvlJc w:val="left"/>
      <w:pPr>
        <w:ind w:left="2880" w:hanging="360"/>
      </w:pPr>
    </w:lvl>
    <w:lvl w:ilvl="4" w:tplc="34B8C970" w:tentative="1">
      <w:start w:val="1"/>
      <w:numFmt w:val="lowerLetter"/>
      <w:lvlText w:val="%5."/>
      <w:lvlJc w:val="left"/>
      <w:pPr>
        <w:ind w:left="3600" w:hanging="360"/>
      </w:pPr>
    </w:lvl>
    <w:lvl w:ilvl="5" w:tplc="6C9876B6" w:tentative="1">
      <w:start w:val="1"/>
      <w:numFmt w:val="lowerRoman"/>
      <w:lvlText w:val="%6."/>
      <w:lvlJc w:val="right"/>
      <w:pPr>
        <w:ind w:left="4320" w:hanging="180"/>
      </w:pPr>
    </w:lvl>
    <w:lvl w:ilvl="6" w:tplc="9DB249A4" w:tentative="1">
      <w:start w:val="1"/>
      <w:numFmt w:val="decimal"/>
      <w:lvlText w:val="%7."/>
      <w:lvlJc w:val="left"/>
      <w:pPr>
        <w:ind w:left="5040" w:hanging="360"/>
      </w:pPr>
    </w:lvl>
    <w:lvl w:ilvl="7" w:tplc="84BA36BA" w:tentative="1">
      <w:start w:val="1"/>
      <w:numFmt w:val="lowerLetter"/>
      <w:lvlText w:val="%8."/>
      <w:lvlJc w:val="left"/>
      <w:pPr>
        <w:ind w:left="5760" w:hanging="360"/>
      </w:pPr>
    </w:lvl>
    <w:lvl w:ilvl="8" w:tplc="DCFE9B56"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33ACA4D2">
      <w:start w:val="1"/>
      <w:numFmt w:val="bullet"/>
      <w:lvlText w:val=""/>
      <w:lvlJc w:val="left"/>
      <w:pPr>
        <w:ind w:left="990" w:hanging="360"/>
      </w:pPr>
      <w:rPr>
        <w:rFonts w:ascii="Symbol" w:hAnsi="Symbol" w:hint="default"/>
      </w:rPr>
    </w:lvl>
    <w:lvl w:ilvl="1" w:tplc="80B891F2" w:tentative="1">
      <w:start w:val="1"/>
      <w:numFmt w:val="bullet"/>
      <w:lvlText w:val="o"/>
      <w:lvlJc w:val="left"/>
      <w:pPr>
        <w:ind w:left="1710" w:hanging="360"/>
      </w:pPr>
      <w:rPr>
        <w:rFonts w:ascii="Courier New" w:hAnsi="Courier New" w:cs="Courier New" w:hint="default"/>
      </w:rPr>
    </w:lvl>
    <w:lvl w:ilvl="2" w:tplc="85601CFC" w:tentative="1">
      <w:start w:val="1"/>
      <w:numFmt w:val="bullet"/>
      <w:lvlText w:val=""/>
      <w:lvlJc w:val="left"/>
      <w:pPr>
        <w:ind w:left="2430" w:hanging="360"/>
      </w:pPr>
      <w:rPr>
        <w:rFonts w:ascii="Wingdings" w:hAnsi="Wingdings" w:hint="default"/>
      </w:rPr>
    </w:lvl>
    <w:lvl w:ilvl="3" w:tplc="6A3A9CB2" w:tentative="1">
      <w:start w:val="1"/>
      <w:numFmt w:val="bullet"/>
      <w:lvlText w:val=""/>
      <w:lvlJc w:val="left"/>
      <w:pPr>
        <w:ind w:left="3150" w:hanging="360"/>
      </w:pPr>
      <w:rPr>
        <w:rFonts w:ascii="Symbol" w:hAnsi="Symbol" w:hint="default"/>
      </w:rPr>
    </w:lvl>
    <w:lvl w:ilvl="4" w:tplc="FB744246" w:tentative="1">
      <w:start w:val="1"/>
      <w:numFmt w:val="bullet"/>
      <w:lvlText w:val="o"/>
      <w:lvlJc w:val="left"/>
      <w:pPr>
        <w:ind w:left="3870" w:hanging="360"/>
      </w:pPr>
      <w:rPr>
        <w:rFonts w:ascii="Courier New" w:hAnsi="Courier New" w:cs="Courier New" w:hint="default"/>
      </w:rPr>
    </w:lvl>
    <w:lvl w:ilvl="5" w:tplc="C46AAC74" w:tentative="1">
      <w:start w:val="1"/>
      <w:numFmt w:val="bullet"/>
      <w:lvlText w:val=""/>
      <w:lvlJc w:val="left"/>
      <w:pPr>
        <w:ind w:left="4590" w:hanging="360"/>
      </w:pPr>
      <w:rPr>
        <w:rFonts w:ascii="Wingdings" w:hAnsi="Wingdings" w:hint="default"/>
      </w:rPr>
    </w:lvl>
    <w:lvl w:ilvl="6" w:tplc="62387F1A" w:tentative="1">
      <w:start w:val="1"/>
      <w:numFmt w:val="bullet"/>
      <w:lvlText w:val=""/>
      <w:lvlJc w:val="left"/>
      <w:pPr>
        <w:ind w:left="5310" w:hanging="360"/>
      </w:pPr>
      <w:rPr>
        <w:rFonts w:ascii="Symbol" w:hAnsi="Symbol" w:hint="default"/>
      </w:rPr>
    </w:lvl>
    <w:lvl w:ilvl="7" w:tplc="66C27ACA" w:tentative="1">
      <w:start w:val="1"/>
      <w:numFmt w:val="bullet"/>
      <w:lvlText w:val="o"/>
      <w:lvlJc w:val="left"/>
      <w:pPr>
        <w:ind w:left="6030" w:hanging="360"/>
      </w:pPr>
      <w:rPr>
        <w:rFonts w:ascii="Courier New" w:hAnsi="Courier New" w:cs="Courier New" w:hint="default"/>
      </w:rPr>
    </w:lvl>
    <w:lvl w:ilvl="8" w:tplc="FB8849F8"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E62825F0">
      <w:start w:val="1"/>
      <w:numFmt w:val="bullet"/>
      <w:lvlText w:val=""/>
      <w:lvlJc w:val="left"/>
      <w:pPr>
        <w:ind w:left="720" w:hanging="360"/>
      </w:pPr>
      <w:rPr>
        <w:rFonts w:ascii="Symbol" w:hAnsi="Symbol" w:hint="default"/>
        <w:color w:val="7FC444"/>
      </w:rPr>
    </w:lvl>
    <w:lvl w:ilvl="1" w:tplc="BAE2FA14" w:tentative="1">
      <w:start w:val="1"/>
      <w:numFmt w:val="bullet"/>
      <w:lvlText w:val="o"/>
      <w:lvlJc w:val="left"/>
      <w:pPr>
        <w:ind w:left="1800" w:hanging="360"/>
      </w:pPr>
      <w:rPr>
        <w:rFonts w:ascii="Courier New" w:hAnsi="Courier New" w:cs="Courier New" w:hint="default"/>
      </w:rPr>
    </w:lvl>
    <w:lvl w:ilvl="2" w:tplc="6DA28178" w:tentative="1">
      <w:start w:val="1"/>
      <w:numFmt w:val="bullet"/>
      <w:lvlText w:val=""/>
      <w:lvlJc w:val="left"/>
      <w:pPr>
        <w:ind w:left="2520" w:hanging="360"/>
      </w:pPr>
      <w:rPr>
        <w:rFonts w:ascii="Wingdings" w:hAnsi="Wingdings" w:hint="default"/>
      </w:rPr>
    </w:lvl>
    <w:lvl w:ilvl="3" w:tplc="7B4EE3D6" w:tentative="1">
      <w:start w:val="1"/>
      <w:numFmt w:val="bullet"/>
      <w:lvlText w:val=""/>
      <w:lvlJc w:val="left"/>
      <w:pPr>
        <w:ind w:left="3240" w:hanging="360"/>
      </w:pPr>
      <w:rPr>
        <w:rFonts w:ascii="Symbol" w:hAnsi="Symbol" w:hint="default"/>
      </w:rPr>
    </w:lvl>
    <w:lvl w:ilvl="4" w:tplc="404893BA" w:tentative="1">
      <w:start w:val="1"/>
      <w:numFmt w:val="bullet"/>
      <w:lvlText w:val="o"/>
      <w:lvlJc w:val="left"/>
      <w:pPr>
        <w:ind w:left="3960" w:hanging="360"/>
      </w:pPr>
      <w:rPr>
        <w:rFonts w:ascii="Courier New" w:hAnsi="Courier New" w:cs="Courier New" w:hint="default"/>
      </w:rPr>
    </w:lvl>
    <w:lvl w:ilvl="5" w:tplc="BB8EC600" w:tentative="1">
      <w:start w:val="1"/>
      <w:numFmt w:val="bullet"/>
      <w:lvlText w:val=""/>
      <w:lvlJc w:val="left"/>
      <w:pPr>
        <w:ind w:left="4680" w:hanging="360"/>
      </w:pPr>
      <w:rPr>
        <w:rFonts w:ascii="Wingdings" w:hAnsi="Wingdings" w:hint="default"/>
      </w:rPr>
    </w:lvl>
    <w:lvl w:ilvl="6" w:tplc="7F92983E" w:tentative="1">
      <w:start w:val="1"/>
      <w:numFmt w:val="bullet"/>
      <w:lvlText w:val=""/>
      <w:lvlJc w:val="left"/>
      <w:pPr>
        <w:ind w:left="5400" w:hanging="360"/>
      </w:pPr>
      <w:rPr>
        <w:rFonts w:ascii="Symbol" w:hAnsi="Symbol" w:hint="default"/>
      </w:rPr>
    </w:lvl>
    <w:lvl w:ilvl="7" w:tplc="2564CDD0" w:tentative="1">
      <w:start w:val="1"/>
      <w:numFmt w:val="bullet"/>
      <w:lvlText w:val="o"/>
      <w:lvlJc w:val="left"/>
      <w:pPr>
        <w:ind w:left="6120" w:hanging="360"/>
      </w:pPr>
      <w:rPr>
        <w:rFonts w:ascii="Courier New" w:hAnsi="Courier New" w:cs="Courier New" w:hint="default"/>
      </w:rPr>
    </w:lvl>
    <w:lvl w:ilvl="8" w:tplc="25AA2C72" w:tentative="1">
      <w:start w:val="1"/>
      <w:numFmt w:val="bullet"/>
      <w:lvlText w:val=""/>
      <w:lvlJc w:val="left"/>
      <w:pPr>
        <w:ind w:left="6840" w:hanging="360"/>
      </w:pPr>
      <w:rPr>
        <w:rFonts w:ascii="Wingdings" w:hAnsi="Wingdings" w:hint="default"/>
      </w:rPr>
    </w:lvl>
  </w:abstractNum>
  <w:abstractNum w:abstractNumId="5"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CC44717"/>
    <w:multiLevelType w:val="hybridMultilevel"/>
    <w:tmpl w:val="063CA8B0"/>
    <w:lvl w:ilvl="0" w:tplc="80C69EDA">
      <w:start w:val="1"/>
      <w:numFmt w:val="decimal"/>
      <w:lvlText w:val="%1."/>
      <w:lvlJc w:val="left"/>
      <w:pPr>
        <w:ind w:left="720" w:hanging="360"/>
      </w:pPr>
    </w:lvl>
    <w:lvl w:ilvl="1" w:tplc="827677D4" w:tentative="1">
      <w:start w:val="1"/>
      <w:numFmt w:val="lowerLetter"/>
      <w:lvlText w:val="%2."/>
      <w:lvlJc w:val="left"/>
      <w:pPr>
        <w:ind w:left="1440" w:hanging="360"/>
      </w:pPr>
    </w:lvl>
    <w:lvl w:ilvl="2" w:tplc="84DA181C" w:tentative="1">
      <w:start w:val="1"/>
      <w:numFmt w:val="lowerRoman"/>
      <w:lvlText w:val="%3."/>
      <w:lvlJc w:val="right"/>
      <w:pPr>
        <w:ind w:left="2160" w:hanging="180"/>
      </w:pPr>
    </w:lvl>
    <w:lvl w:ilvl="3" w:tplc="527263EE" w:tentative="1">
      <w:start w:val="1"/>
      <w:numFmt w:val="decimal"/>
      <w:lvlText w:val="%4."/>
      <w:lvlJc w:val="left"/>
      <w:pPr>
        <w:ind w:left="2880" w:hanging="360"/>
      </w:pPr>
    </w:lvl>
    <w:lvl w:ilvl="4" w:tplc="4194208C" w:tentative="1">
      <w:start w:val="1"/>
      <w:numFmt w:val="lowerLetter"/>
      <w:lvlText w:val="%5."/>
      <w:lvlJc w:val="left"/>
      <w:pPr>
        <w:ind w:left="3600" w:hanging="360"/>
      </w:pPr>
    </w:lvl>
    <w:lvl w:ilvl="5" w:tplc="0BF035E4" w:tentative="1">
      <w:start w:val="1"/>
      <w:numFmt w:val="lowerRoman"/>
      <w:lvlText w:val="%6."/>
      <w:lvlJc w:val="right"/>
      <w:pPr>
        <w:ind w:left="4320" w:hanging="180"/>
      </w:pPr>
    </w:lvl>
    <w:lvl w:ilvl="6" w:tplc="B3D0D8D6" w:tentative="1">
      <w:start w:val="1"/>
      <w:numFmt w:val="decimal"/>
      <w:lvlText w:val="%7."/>
      <w:lvlJc w:val="left"/>
      <w:pPr>
        <w:ind w:left="5040" w:hanging="360"/>
      </w:pPr>
    </w:lvl>
    <w:lvl w:ilvl="7" w:tplc="2C1A4490" w:tentative="1">
      <w:start w:val="1"/>
      <w:numFmt w:val="lowerLetter"/>
      <w:lvlText w:val="%8."/>
      <w:lvlJc w:val="left"/>
      <w:pPr>
        <w:ind w:left="5760" w:hanging="360"/>
      </w:pPr>
    </w:lvl>
    <w:lvl w:ilvl="8" w:tplc="99E2E754" w:tentative="1">
      <w:start w:val="1"/>
      <w:numFmt w:val="lowerRoman"/>
      <w:lvlText w:val="%9."/>
      <w:lvlJc w:val="right"/>
      <w:pPr>
        <w:ind w:left="6480" w:hanging="180"/>
      </w:pPr>
    </w:lvl>
  </w:abstractNum>
  <w:abstractNum w:abstractNumId="7" w15:restartNumberingAfterBreak="0">
    <w:nsid w:val="53EC42E2"/>
    <w:multiLevelType w:val="hybridMultilevel"/>
    <w:tmpl w:val="37ECB20A"/>
    <w:lvl w:ilvl="0" w:tplc="32AA2BAE">
      <w:start w:val="1"/>
      <w:numFmt w:val="bullet"/>
      <w:lvlText w:val=""/>
      <w:lvlJc w:val="left"/>
      <w:pPr>
        <w:ind w:left="720" w:hanging="360"/>
      </w:pPr>
      <w:rPr>
        <w:rFonts w:ascii="Symbol" w:hAnsi="Symbol" w:hint="default"/>
        <w:color w:val="auto"/>
      </w:rPr>
    </w:lvl>
    <w:lvl w:ilvl="1" w:tplc="2736CD04" w:tentative="1">
      <w:start w:val="1"/>
      <w:numFmt w:val="bullet"/>
      <w:lvlText w:val="o"/>
      <w:lvlJc w:val="left"/>
      <w:pPr>
        <w:ind w:left="1440" w:hanging="360"/>
      </w:pPr>
      <w:rPr>
        <w:rFonts w:ascii="Courier New" w:hAnsi="Courier New" w:cs="Courier New" w:hint="default"/>
      </w:rPr>
    </w:lvl>
    <w:lvl w:ilvl="2" w:tplc="C38A2352" w:tentative="1">
      <w:start w:val="1"/>
      <w:numFmt w:val="bullet"/>
      <w:lvlText w:val=""/>
      <w:lvlJc w:val="left"/>
      <w:pPr>
        <w:ind w:left="2160" w:hanging="360"/>
      </w:pPr>
      <w:rPr>
        <w:rFonts w:ascii="Wingdings" w:hAnsi="Wingdings" w:hint="default"/>
      </w:rPr>
    </w:lvl>
    <w:lvl w:ilvl="3" w:tplc="4C3AA57A" w:tentative="1">
      <w:start w:val="1"/>
      <w:numFmt w:val="bullet"/>
      <w:lvlText w:val=""/>
      <w:lvlJc w:val="left"/>
      <w:pPr>
        <w:ind w:left="2880" w:hanging="360"/>
      </w:pPr>
      <w:rPr>
        <w:rFonts w:ascii="Symbol" w:hAnsi="Symbol" w:hint="default"/>
      </w:rPr>
    </w:lvl>
    <w:lvl w:ilvl="4" w:tplc="E43ED264" w:tentative="1">
      <w:start w:val="1"/>
      <w:numFmt w:val="bullet"/>
      <w:lvlText w:val="o"/>
      <w:lvlJc w:val="left"/>
      <w:pPr>
        <w:ind w:left="3600" w:hanging="360"/>
      </w:pPr>
      <w:rPr>
        <w:rFonts w:ascii="Courier New" w:hAnsi="Courier New" w:cs="Courier New" w:hint="default"/>
      </w:rPr>
    </w:lvl>
    <w:lvl w:ilvl="5" w:tplc="D0DE4F1A" w:tentative="1">
      <w:start w:val="1"/>
      <w:numFmt w:val="bullet"/>
      <w:lvlText w:val=""/>
      <w:lvlJc w:val="left"/>
      <w:pPr>
        <w:ind w:left="4320" w:hanging="360"/>
      </w:pPr>
      <w:rPr>
        <w:rFonts w:ascii="Wingdings" w:hAnsi="Wingdings" w:hint="default"/>
      </w:rPr>
    </w:lvl>
    <w:lvl w:ilvl="6" w:tplc="2FCE79C8" w:tentative="1">
      <w:start w:val="1"/>
      <w:numFmt w:val="bullet"/>
      <w:lvlText w:val=""/>
      <w:lvlJc w:val="left"/>
      <w:pPr>
        <w:ind w:left="5040" w:hanging="360"/>
      </w:pPr>
      <w:rPr>
        <w:rFonts w:ascii="Symbol" w:hAnsi="Symbol" w:hint="default"/>
      </w:rPr>
    </w:lvl>
    <w:lvl w:ilvl="7" w:tplc="8BC8F08E" w:tentative="1">
      <w:start w:val="1"/>
      <w:numFmt w:val="bullet"/>
      <w:lvlText w:val="o"/>
      <w:lvlJc w:val="left"/>
      <w:pPr>
        <w:ind w:left="5760" w:hanging="360"/>
      </w:pPr>
      <w:rPr>
        <w:rFonts w:ascii="Courier New" w:hAnsi="Courier New" w:cs="Courier New" w:hint="default"/>
      </w:rPr>
    </w:lvl>
    <w:lvl w:ilvl="8" w:tplc="329A864C"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FBFA4A2C">
      <w:start w:val="1"/>
      <w:numFmt w:val="bullet"/>
      <w:lvlText w:val=""/>
      <w:lvlJc w:val="left"/>
      <w:pPr>
        <w:ind w:left="720" w:hanging="360"/>
      </w:pPr>
      <w:rPr>
        <w:rFonts w:ascii="Symbol" w:hAnsi="Symbol" w:hint="default"/>
        <w:color w:val="7FC444"/>
      </w:rPr>
    </w:lvl>
    <w:lvl w:ilvl="1" w:tplc="D0A623D0" w:tentative="1">
      <w:start w:val="1"/>
      <w:numFmt w:val="bullet"/>
      <w:lvlText w:val="o"/>
      <w:lvlJc w:val="left"/>
      <w:pPr>
        <w:ind w:left="1440" w:hanging="360"/>
      </w:pPr>
      <w:rPr>
        <w:rFonts w:ascii="Courier New" w:hAnsi="Courier New" w:cs="Courier New" w:hint="default"/>
      </w:rPr>
    </w:lvl>
    <w:lvl w:ilvl="2" w:tplc="3300E10A" w:tentative="1">
      <w:start w:val="1"/>
      <w:numFmt w:val="bullet"/>
      <w:lvlText w:val=""/>
      <w:lvlJc w:val="left"/>
      <w:pPr>
        <w:ind w:left="2160" w:hanging="360"/>
      </w:pPr>
      <w:rPr>
        <w:rFonts w:ascii="Wingdings" w:hAnsi="Wingdings" w:hint="default"/>
      </w:rPr>
    </w:lvl>
    <w:lvl w:ilvl="3" w:tplc="F6FE38C0" w:tentative="1">
      <w:start w:val="1"/>
      <w:numFmt w:val="bullet"/>
      <w:lvlText w:val=""/>
      <w:lvlJc w:val="left"/>
      <w:pPr>
        <w:ind w:left="2880" w:hanging="360"/>
      </w:pPr>
      <w:rPr>
        <w:rFonts w:ascii="Symbol" w:hAnsi="Symbol" w:hint="default"/>
      </w:rPr>
    </w:lvl>
    <w:lvl w:ilvl="4" w:tplc="98F0D4FA" w:tentative="1">
      <w:start w:val="1"/>
      <w:numFmt w:val="bullet"/>
      <w:lvlText w:val="o"/>
      <w:lvlJc w:val="left"/>
      <w:pPr>
        <w:ind w:left="3600" w:hanging="360"/>
      </w:pPr>
      <w:rPr>
        <w:rFonts w:ascii="Courier New" w:hAnsi="Courier New" w:cs="Courier New" w:hint="default"/>
      </w:rPr>
    </w:lvl>
    <w:lvl w:ilvl="5" w:tplc="0722FD76" w:tentative="1">
      <w:start w:val="1"/>
      <w:numFmt w:val="bullet"/>
      <w:lvlText w:val=""/>
      <w:lvlJc w:val="left"/>
      <w:pPr>
        <w:ind w:left="4320" w:hanging="360"/>
      </w:pPr>
      <w:rPr>
        <w:rFonts w:ascii="Wingdings" w:hAnsi="Wingdings" w:hint="default"/>
      </w:rPr>
    </w:lvl>
    <w:lvl w:ilvl="6" w:tplc="299A6D80" w:tentative="1">
      <w:start w:val="1"/>
      <w:numFmt w:val="bullet"/>
      <w:lvlText w:val=""/>
      <w:lvlJc w:val="left"/>
      <w:pPr>
        <w:ind w:left="5040" w:hanging="360"/>
      </w:pPr>
      <w:rPr>
        <w:rFonts w:ascii="Symbol" w:hAnsi="Symbol" w:hint="default"/>
      </w:rPr>
    </w:lvl>
    <w:lvl w:ilvl="7" w:tplc="24A8CDA4" w:tentative="1">
      <w:start w:val="1"/>
      <w:numFmt w:val="bullet"/>
      <w:lvlText w:val="o"/>
      <w:lvlJc w:val="left"/>
      <w:pPr>
        <w:ind w:left="5760" w:hanging="360"/>
      </w:pPr>
      <w:rPr>
        <w:rFonts w:ascii="Courier New" w:hAnsi="Courier New" w:cs="Courier New" w:hint="default"/>
      </w:rPr>
    </w:lvl>
    <w:lvl w:ilvl="8" w:tplc="928EB73C"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DD886B46">
      <w:start w:val="1"/>
      <w:numFmt w:val="decimal"/>
      <w:lvlText w:val="%1."/>
      <w:lvlJc w:val="left"/>
      <w:pPr>
        <w:ind w:left="720" w:hanging="360"/>
      </w:pPr>
    </w:lvl>
    <w:lvl w:ilvl="1" w:tplc="D14CD8F8" w:tentative="1">
      <w:start w:val="1"/>
      <w:numFmt w:val="lowerLetter"/>
      <w:lvlText w:val="%2."/>
      <w:lvlJc w:val="left"/>
      <w:pPr>
        <w:ind w:left="1440" w:hanging="360"/>
      </w:pPr>
    </w:lvl>
    <w:lvl w:ilvl="2" w:tplc="542A4DCE" w:tentative="1">
      <w:start w:val="1"/>
      <w:numFmt w:val="lowerRoman"/>
      <w:lvlText w:val="%3."/>
      <w:lvlJc w:val="right"/>
      <w:pPr>
        <w:ind w:left="2160" w:hanging="180"/>
      </w:pPr>
    </w:lvl>
    <w:lvl w:ilvl="3" w:tplc="655E5C7C" w:tentative="1">
      <w:start w:val="1"/>
      <w:numFmt w:val="decimal"/>
      <w:lvlText w:val="%4."/>
      <w:lvlJc w:val="left"/>
      <w:pPr>
        <w:ind w:left="2880" w:hanging="360"/>
      </w:pPr>
    </w:lvl>
    <w:lvl w:ilvl="4" w:tplc="95A68C1A" w:tentative="1">
      <w:start w:val="1"/>
      <w:numFmt w:val="lowerLetter"/>
      <w:lvlText w:val="%5."/>
      <w:lvlJc w:val="left"/>
      <w:pPr>
        <w:ind w:left="3600" w:hanging="360"/>
      </w:pPr>
    </w:lvl>
    <w:lvl w:ilvl="5" w:tplc="5314BF36" w:tentative="1">
      <w:start w:val="1"/>
      <w:numFmt w:val="lowerRoman"/>
      <w:lvlText w:val="%6."/>
      <w:lvlJc w:val="right"/>
      <w:pPr>
        <w:ind w:left="4320" w:hanging="180"/>
      </w:pPr>
    </w:lvl>
    <w:lvl w:ilvl="6" w:tplc="2408B4B4" w:tentative="1">
      <w:start w:val="1"/>
      <w:numFmt w:val="decimal"/>
      <w:lvlText w:val="%7."/>
      <w:lvlJc w:val="left"/>
      <w:pPr>
        <w:ind w:left="5040" w:hanging="360"/>
      </w:pPr>
    </w:lvl>
    <w:lvl w:ilvl="7" w:tplc="F6C21A5A" w:tentative="1">
      <w:start w:val="1"/>
      <w:numFmt w:val="lowerLetter"/>
      <w:lvlText w:val="%8."/>
      <w:lvlJc w:val="left"/>
      <w:pPr>
        <w:ind w:left="5760" w:hanging="360"/>
      </w:pPr>
    </w:lvl>
    <w:lvl w:ilvl="8" w:tplc="68D66100"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12E7A81"/>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2" w15:restartNumberingAfterBreak="0">
    <w:nsid w:val="687524EC"/>
    <w:multiLevelType w:val="hybridMultilevel"/>
    <w:tmpl w:val="C83AE318"/>
    <w:lvl w:ilvl="0" w:tplc="4412F928">
      <w:start w:val="1"/>
      <w:numFmt w:val="bullet"/>
      <w:lvlText w:val=""/>
      <w:lvlJc w:val="left"/>
      <w:pPr>
        <w:ind w:left="720" w:hanging="360"/>
      </w:pPr>
      <w:rPr>
        <w:rFonts w:ascii="Symbol" w:hAnsi="Symbol" w:hint="default"/>
        <w:color w:val="7FC444"/>
      </w:rPr>
    </w:lvl>
    <w:lvl w:ilvl="1" w:tplc="128E38DC" w:tentative="1">
      <w:start w:val="1"/>
      <w:numFmt w:val="bullet"/>
      <w:lvlText w:val="o"/>
      <w:lvlJc w:val="left"/>
      <w:pPr>
        <w:ind w:left="1440" w:hanging="360"/>
      </w:pPr>
      <w:rPr>
        <w:rFonts w:ascii="Courier New" w:hAnsi="Courier New" w:cs="Courier New" w:hint="default"/>
      </w:rPr>
    </w:lvl>
    <w:lvl w:ilvl="2" w:tplc="DD769F9A" w:tentative="1">
      <w:start w:val="1"/>
      <w:numFmt w:val="bullet"/>
      <w:lvlText w:val=""/>
      <w:lvlJc w:val="left"/>
      <w:pPr>
        <w:ind w:left="2160" w:hanging="360"/>
      </w:pPr>
      <w:rPr>
        <w:rFonts w:ascii="Wingdings" w:hAnsi="Wingdings" w:hint="default"/>
      </w:rPr>
    </w:lvl>
    <w:lvl w:ilvl="3" w:tplc="872C3A0C" w:tentative="1">
      <w:start w:val="1"/>
      <w:numFmt w:val="bullet"/>
      <w:lvlText w:val=""/>
      <w:lvlJc w:val="left"/>
      <w:pPr>
        <w:ind w:left="2880" w:hanging="360"/>
      </w:pPr>
      <w:rPr>
        <w:rFonts w:ascii="Symbol" w:hAnsi="Symbol" w:hint="default"/>
      </w:rPr>
    </w:lvl>
    <w:lvl w:ilvl="4" w:tplc="6E6E1264" w:tentative="1">
      <w:start w:val="1"/>
      <w:numFmt w:val="bullet"/>
      <w:lvlText w:val="o"/>
      <w:lvlJc w:val="left"/>
      <w:pPr>
        <w:ind w:left="3600" w:hanging="360"/>
      </w:pPr>
      <w:rPr>
        <w:rFonts w:ascii="Courier New" w:hAnsi="Courier New" w:cs="Courier New" w:hint="default"/>
      </w:rPr>
    </w:lvl>
    <w:lvl w:ilvl="5" w:tplc="0228F810" w:tentative="1">
      <w:start w:val="1"/>
      <w:numFmt w:val="bullet"/>
      <w:lvlText w:val=""/>
      <w:lvlJc w:val="left"/>
      <w:pPr>
        <w:ind w:left="4320" w:hanging="360"/>
      </w:pPr>
      <w:rPr>
        <w:rFonts w:ascii="Wingdings" w:hAnsi="Wingdings" w:hint="default"/>
      </w:rPr>
    </w:lvl>
    <w:lvl w:ilvl="6" w:tplc="4518152E" w:tentative="1">
      <w:start w:val="1"/>
      <w:numFmt w:val="bullet"/>
      <w:lvlText w:val=""/>
      <w:lvlJc w:val="left"/>
      <w:pPr>
        <w:ind w:left="5040" w:hanging="360"/>
      </w:pPr>
      <w:rPr>
        <w:rFonts w:ascii="Symbol" w:hAnsi="Symbol" w:hint="default"/>
      </w:rPr>
    </w:lvl>
    <w:lvl w:ilvl="7" w:tplc="0B5C13A6" w:tentative="1">
      <w:start w:val="1"/>
      <w:numFmt w:val="bullet"/>
      <w:lvlText w:val="o"/>
      <w:lvlJc w:val="left"/>
      <w:pPr>
        <w:ind w:left="5760" w:hanging="360"/>
      </w:pPr>
      <w:rPr>
        <w:rFonts w:ascii="Courier New" w:hAnsi="Courier New" w:cs="Courier New" w:hint="default"/>
      </w:rPr>
    </w:lvl>
    <w:lvl w:ilvl="8" w:tplc="31702040"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FBEC254A">
      <w:start w:val="1"/>
      <w:numFmt w:val="bullet"/>
      <w:lvlText w:val=""/>
      <w:lvlJc w:val="left"/>
      <w:pPr>
        <w:ind w:left="720" w:hanging="360"/>
      </w:pPr>
      <w:rPr>
        <w:rFonts w:ascii="Symbol" w:hAnsi="Symbol" w:hint="default"/>
        <w:color w:val="7FC444"/>
      </w:rPr>
    </w:lvl>
    <w:lvl w:ilvl="1" w:tplc="CEFAE1E2" w:tentative="1">
      <w:start w:val="1"/>
      <w:numFmt w:val="bullet"/>
      <w:lvlText w:val="o"/>
      <w:lvlJc w:val="left"/>
      <w:pPr>
        <w:ind w:left="1440" w:hanging="360"/>
      </w:pPr>
      <w:rPr>
        <w:rFonts w:ascii="Courier New" w:hAnsi="Courier New" w:cs="Courier New" w:hint="default"/>
      </w:rPr>
    </w:lvl>
    <w:lvl w:ilvl="2" w:tplc="19122F5C" w:tentative="1">
      <w:start w:val="1"/>
      <w:numFmt w:val="bullet"/>
      <w:lvlText w:val=""/>
      <w:lvlJc w:val="left"/>
      <w:pPr>
        <w:ind w:left="2160" w:hanging="360"/>
      </w:pPr>
      <w:rPr>
        <w:rFonts w:ascii="Wingdings" w:hAnsi="Wingdings" w:hint="default"/>
      </w:rPr>
    </w:lvl>
    <w:lvl w:ilvl="3" w:tplc="2A986C5C" w:tentative="1">
      <w:start w:val="1"/>
      <w:numFmt w:val="bullet"/>
      <w:lvlText w:val=""/>
      <w:lvlJc w:val="left"/>
      <w:pPr>
        <w:ind w:left="2880" w:hanging="360"/>
      </w:pPr>
      <w:rPr>
        <w:rFonts w:ascii="Symbol" w:hAnsi="Symbol" w:hint="default"/>
      </w:rPr>
    </w:lvl>
    <w:lvl w:ilvl="4" w:tplc="9648B494" w:tentative="1">
      <w:start w:val="1"/>
      <w:numFmt w:val="bullet"/>
      <w:lvlText w:val="o"/>
      <w:lvlJc w:val="left"/>
      <w:pPr>
        <w:ind w:left="3600" w:hanging="360"/>
      </w:pPr>
      <w:rPr>
        <w:rFonts w:ascii="Courier New" w:hAnsi="Courier New" w:cs="Courier New" w:hint="default"/>
      </w:rPr>
    </w:lvl>
    <w:lvl w:ilvl="5" w:tplc="44C6F2AA" w:tentative="1">
      <w:start w:val="1"/>
      <w:numFmt w:val="bullet"/>
      <w:lvlText w:val=""/>
      <w:lvlJc w:val="left"/>
      <w:pPr>
        <w:ind w:left="4320" w:hanging="360"/>
      </w:pPr>
      <w:rPr>
        <w:rFonts w:ascii="Wingdings" w:hAnsi="Wingdings" w:hint="default"/>
      </w:rPr>
    </w:lvl>
    <w:lvl w:ilvl="6" w:tplc="F536BC84" w:tentative="1">
      <w:start w:val="1"/>
      <w:numFmt w:val="bullet"/>
      <w:lvlText w:val=""/>
      <w:lvlJc w:val="left"/>
      <w:pPr>
        <w:ind w:left="5040" w:hanging="360"/>
      </w:pPr>
      <w:rPr>
        <w:rFonts w:ascii="Symbol" w:hAnsi="Symbol" w:hint="default"/>
      </w:rPr>
    </w:lvl>
    <w:lvl w:ilvl="7" w:tplc="CCDEE5EE" w:tentative="1">
      <w:start w:val="1"/>
      <w:numFmt w:val="bullet"/>
      <w:lvlText w:val="o"/>
      <w:lvlJc w:val="left"/>
      <w:pPr>
        <w:ind w:left="5760" w:hanging="360"/>
      </w:pPr>
      <w:rPr>
        <w:rFonts w:ascii="Courier New" w:hAnsi="Courier New" w:cs="Courier New" w:hint="default"/>
      </w:rPr>
    </w:lvl>
    <w:lvl w:ilvl="8" w:tplc="990AA8EA" w:tentative="1">
      <w:start w:val="1"/>
      <w:numFmt w:val="bullet"/>
      <w:lvlText w:val=""/>
      <w:lvlJc w:val="left"/>
      <w:pPr>
        <w:ind w:left="6480" w:hanging="360"/>
      </w:pPr>
      <w:rPr>
        <w:rFonts w:ascii="Wingdings" w:hAnsi="Wingdings" w:hint="default"/>
      </w:rPr>
    </w:lvl>
  </w:abstractNum>
  <w:abstractNum w:abstractNumId="14"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5" w15:restartNumberingAfterBreak="0">
    <w:nsid w:val="7C6872A1"/>
    <w:multiLevelType w:val="hybridMultilevel"/>
    <w:tmpl w:val="700E460A"/>
    <w:lvl w:ilvl="0" w:tplc="19FC26A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6A82316" w:tentative="1">
      <w:start w:val="1"/>
      <w:numFmt w:val="bullet"/>
      <w:lvlText w:val="o"/>
      <w:lvlJc w:val="left"/>
      <w:pPr>
        <w:tabs>
          <w:tab w:val="num" w:pos="1440"/>
        </w:tabs>
        <w:ind w:left="1440" w:hanging="360"/>
      </w:pPr>
      <w:rPr>
        <w:rFonts w:ascii="Courier New" w:hAnsi="Courier New" w:hint="default"/>
      </w:rPr>
    </w:lvl>
    <w:lvl w:ilvl="2" w:tplc="87DEBD38" w:tentative="1">
      <w:start w:val="1"/>
      <w:numFmt w:val="bullet"/>
      <w:lvlText w:val=""/>
      <w:lvlJc w:val="left"/>
      <w:pPr>
        <w:tabs>
          <w:tab w:val="num" w:pos="2160"/>
        </w:tabs>
        <w:ind w:left="2160" w:hanging="360"/>
      </w:pPr>
      <w:rPr>
        <w:rFonts w:ascii="Wingdings" w:hAnsi="Wingdings" w:hint="default"/>
      </w:rPr>
    </w:lvl>
    <w:lvl w:ilvl="3" w:tplc="9266EA94" w:tentative="1">
      <w:start w:val="1"/>
      <w:numFmt w:val="bullet"/>
      <w:lvlText w:val=""/>
      <w:lvlJc w:val="left"/>
      <w:pPr>
        <w:tabs>
          <w:tab w:val="num" w:pos="2880"/>
        </w:tabs>
        <w:ind w:left="2880" w:hanging="360"/>
      </w:pPr>
      <w:rPr>
        <w:rFonts w:ascii="Symbol" w:hAnsi="Symbol" w:hint="default"/>
      </w:rPr>
    </w:lvl>
    <w:lvl w:ilvl="4" w:tplc="BD225670" w:tentative="1">
      <w:start w:val="1"/>
      <w:numFmt w:val="bullet"/>
      <w:lvlText w:val="o"/>
      <w:lvlJc w:val="left"/>
      <w:pPr>
        <w:tabs>
          <w:tab w:val="num" w:pos="3600"/>
        </w:tabs>
        <w:ind w:left="3600" w:hanging="360"/>
      </w:pPr>
      <w:rPr>
        <w:rFonts w:ascii="Courier New" w:hAnsi="Courier New" w:hint="default"/>
      </w:rPr>
    </w:lvl>
    <w:lvl w:ilvl="5" w:tplc="61E0349E" w:tentative="1">
      <w:start w:val="1"/>
      <w:numFmt w:val="bullet"/>
      <w:lvlText w:val=""/>
      <w:lvlJc w:val="left"/>
      <w:pPr>
        <w:tabs>
          <w:tab w:val="num" w:pos="4320"/>
        </w:tabs>
        <w:ind w:left="4320" w:hanging="360"/>
      </w:pPr>
      <w:rPr>
        <w:rFonts w:ascii="Wingdings" w:hAnsi="Wingdings" w:hint="default"/>
      </w:rPr>
    </w:lvl>
    <w:lvl w:ilvl="6" w:tplc="E2BCFC46" w:tentative="1">
      <w:start w:val="1"/>
      <w:numFmt w:val="bullet"/>
      <w:lvlText w:val=""/>
      <w:lvlJc w:val="left"/>
      <w:pPr>
        <w:tabs>
          <w:tab w:val="num" w:pos="5040"/>
        </w:tabs>
        <w:ind w:left="5040" w:hanging="360"/>
      </w:pPr>
      <w:rPr>
        <w:rFonts w:ascii="Symbol" w:hAnsi="Symbol" w:hint="default"/>
      </w:rPr>
    </w:lvl>
    <w:lvl w:ilvl="7" w:tplc="C8F62930" w:tentative="1">
      <w:start w:val="1"/>
      <w:numFmt w:val="bullet"/>
      <w:lvlText w:val="o"/>
      <w:lvlJc w:val="left"/>
      <w:pPr>
        <w:tabs>
          <w:tab w:val="num" w:pos="5760"/>
        </w:tabs>
        <w:ind w:left="5760" w:hanging="360"/>
      </w:pPr>
      <w:rPr>
        <w:rFonts w:ascii="Courier New" w:hAnsi="Courier New" w:hint="default"/>
      </w:rPr>
    </w:lvl>
    <w:lvl w:ilvl="8" w:tplc="7F46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3"/>
  </w:num>
  <w:num w:numId="3">
    <w:abstractNumId w:val="8"/>
  </w:num>
  <w:num w:numId="4">
    <w:abstractNumId w:val="12"/>
  </w:num>
  <w:num w:numId="5">
    <w:abstractNumId w:val="7"/>
  </w:num>
  <w:num w:numId="6">
    <w:abstractNumId w:val="3"/>
  </w:num>
  <w:num w:numId="7">
    <w:abstractNumId w:val="4"/>
  </w:num>
  <w:num w:numId="8">
    <w:abstractNumId w:val="10"/>
  </w:num>
  <w:num w:numId="9">
    <w:abstractNumId w:val="16"/>
  </w:num>
  <w:num w:numId="10">
    <w:abstractNumId w:val="14"/>
  </w:num>
  <w:num w:numId="11">
    <w:abstractNumId w:val="5"/>
  </w:num>
  <w:num w:numId="12">
    <w:abstractNumId w:val="6"/>
  </w:num>
  <w:num w:numId="13">
    <w:abstractNumId w:val="2"/>
  </w:num>
  <w:num w:numId="14">
    <w:abstractNumId w:val="9"/>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467AD"/>
    <w:rsid w:val="00053669"/>
    <w:rsid w:val="0006776F"/>
    <w:rsid w:val="00080228"/>
    <w:rsid w:val="0009071E"/>
    <w:rsid w:val="000A672E"/>
    <w:rsid w:val="000F75CB"/>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641"/>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4D00CB"/>
    <w:rsid w:val="004D317C"/>
    <w:rsid w:val="00510168"/>
    <w:rsid w:val="00522E7D"/>
    <w:rsid w:val="00542184"/>
    <w:rsid w:val="00543959"/>
    <w:rsid w:val="005629DD"/>
    <w:rsid w:val="00576DC5"/>
    <w:rsid w:val="00584159"/>
    <w:rsid w:val="005C5465"/>
    <w:rsid w:val="005E7794"/>
    <w:rsid w:val="005E7DD4"/>
    <w:rsid w:val="00613634"/>
    <w:rsid w:val="00613EC1"/>
    <w:rsid w:val="00617525"/>
    <w:rsid w:val="00627A92"/>
    <w:rsid w:val="00641609"/>
    <w:rsid w:val="00643408"/>
    <w:rsid w:val="00672DCA"/>
    <w:rsid w:val="006A7267"/>
    <w:rsid w:val="006B1C4D"/>
    <w:rsid w:val="006B62C4"/>
    <w:rsid w:val="006B7CC3"/>
    <w:rsid w:val="006D56BC"/>
    <w:rsid w:val="006F27C3"/>
    <w:rsid w:val="00706128"/>
    <w:rsid w:val="00737971"/>
    <w:rsid w:val="00742F7B"/>
    <w:rsid w:val="007637E9"/>
    <w:rsid w:val="00774BC4"/>
    <w:rsid w:val="0078549D"/>
    <w:rsid w:val="007948D6"/>
    <w:rsid w:val="007A6729"/>
    <w:rsid w:val="007C7E3E"/>
    <w:rsid w:val="007E4570"/>
    <w:rsid w:val="007E4749"/>
    <w:rsid w:val="007F099D"/>
    <w:rsid w:val="00802E59"/>
    <w:rsid w:val="00804F02"/>
    <w:rsid w:val="00812062"/>
    <w:rsid w:val="0085583E"/>
    <w:rsid w:val="00857BD9"/>
    <w:rsid w:val="00883AC9"/>
    <w:rsid w:val="008A4C2F"/>
    <w:rsid w:val="008B2D37"/>
    <w:rsid w:val="008C37E1"/>
    <w:rsid w:val="008C6B99"/>
    <w:rsid w:val="008D541D"/>
    <w:rsid w:val="008F13BA"/>
    <w:rsid w:val="0091336F"/>
    <w:rsid w:val="009157BD"/>
    <w:rsid w:val="009472CD"/>
    <w:rsid w:val="00947881"/>
    <w:rsid w:val="00957931"/>
    <w:rsid w:val="00974AB3"/>
    <w:rsid w:val="009A018E"/>
    <w:rsid w:val="009A0988"/>
    <w:rsid w:val="009A514D"/>
    <w:rsid w:val="009C1604"/>
    <w:rsid w:val="009D625C"/>
    <w:rsid w:val="00A0164F"/>
    <w:rsid w:val="00A356DB"/>
    <w:rsid w:val="00A47DF8"/>
    <w:rsid w:val="00A67766"/>
    <w:rsid w:val="00A851F7"/>
    <w:rsid w:val="00A95452"/>
    <w:rsid w:val="00A964C7"/>
    <w:rsid w:val="00B0500A"/>
    <w:rsid w:val="00B34E61"/>
    <w:rsid w:val="00B6683B"/>
    <w:rsid w:val="00B85F3A"/>
    <w:rsid w:val="00B8772E"/>
    <w:rsid w:val="00B95697"/>
    <w:rsid w:val="00BA2420"/>
    <w:rsid w:val="00BC25D4"/>
    <w:rsid w:val="00BC3CC9"/>
    <w:rsid w:val="00BE1920"/>
    <w:rsid w:val="00BE5BEB"/>
    <w:rsid w:val="00BE77AB"/>
    <w:rsid w:val="00C03CA4"/>
    <w:rsid w:val="00C3676B"/>
    <w:rsid w:val="00CD4005"/>
    <w:rsid w:val="00CF622A"/>
    <w:rsid w:val="00D01FF9"/>
    <w:rsid w:val="00D0369E"/>
    <w:rsid w:val="00D04144"/>
    <w:rsid w:val="00D1305C"/>
    <w:rsid w:val="00D32CCE"/>
    <w:rsid w:val="00D4431F"/>
    <w:rsid w:val="00DF59D9"/>
    <w:rsid w:val="00DF7476"/>
    <w:rsid w:val="00E05F7E"/>
    <w:rsid w:val="00E06F2E"/>
    <w:rsid w:val="00E10BF8"/>
    <w:rsid w:val="00E53D73"/>
    <w:rsid w:val="00E709F7"/>
    <w:rsid w:val="00E75510"/>
    <w:rsid w:val="00E811D7"/>
    <w:rsid w:val="00E87F45"/>
    <w:rsid w:val="00E93B5C"/>
    <w:rsid w:val="00E963B8"/>
    <w:rsid w:val="00EC0007"/>
    <w:rsid w:val="00ED3333"/>
    <w:rsid w:val="00ED4FF1"/>
    <w:rsid w:val="00EF0D35"/>
    <w:rsid w:val="00F26C7F"/>
    <w:rsid w:val="00F37B00"/>
    <w:rsid w:val="00F41F71"/>
    <w:rsid w:val="00F60644"/>
    <w:rsid w:val="00F90ED6"/>
    <w:rsid w:val="00F929C3"/>
    <w:rsid w:val="00F967A2"/>
    <w:rsid w:val="00F97801"/>
    <w:rsid w:val="00F97987"/>
    <w:rsid w:val="00FB2F2E"/>
    <w:rsid w:val="00FB3074"/>
    <w:rsid w:val="00FC05E1"/>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A9BB"/>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cp:revision>
  <cp:lastPrinted>2014-03-21T13:56:00Z</cp:lastPrinted>
  <dcterms:created xsi:type="dcterms:W3CDTF">2023-03-03T17:31:00Z</dcterms:created>
  <dcterms:modified xsi:type="dcterms:W3CDTF">2023-03-03T17:35:00Z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Statement of Accounts 2021/22</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Louise Mattinson</vt:lpwstr>
  </property>
  <property fmtid="{D5CDD505-2E9C-101B-9397-08002B2CF9AE}" pid="7" name="LeadOfficerEmail">
    <vt:lpwstr>louise.mattinson@southribble.gov.uk</vt:lpwstr>
  </property>
  <property fmtid="{D5CDD505-2E9C-101B-9397-08002B2CF9AE}" pid="8" name="LeadOfficerPost">
    <vt:lpwstr>Director of Finance and Section 151 Officer</vt:lpwstr>
  </property>
  <property fmtid="{D5CDD505-2E9C-101B-9397-08002B2CF9AE}" pid="9" name="LeadOfficerTel">
    <vt:lpwstr/>
  </property>
  <property fmtid="{D5CDD505-2E9C-101B-9397-08002B2CF9AE}" pid="10" name="MeetingDate">
    <vt:lpwstr>Tuesday, 7 March 2023</vt:lpwstr>
  </property>
</Properties>
</file>